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52B5" w:rsidP="009752B5">
      <w:pPr>
        <w:pStyle w:val="Title"/>
      </w:pPr>
      <w:r>
        <w:t>BIBLE TALK</w:t>
      </w:r>
    </w:p>
    <w:p w:rsidR="00000000" w:rsidRDefault="009752B5"/>
    <w:p w:rsidR="00000000" w:rsidRDefault="009752B5"/>
    <w:p w:rsidR="00000000" w:rsidRDefault="009752B5"/>
    <w:p w:rsidR="00000000" w:rsidRDefault="009752B5">
      <w:r>
        <w:rPr>
          <w:u w:val="single"/>
        </w:rPr>
        <w:t>This week the question is</w:t>
      </w:r>
      <w:r>
        <w:t xml:space="preserve">: </w:t>
      </w:r>
      <w:r>
        <w:rPr>
          <w:b/>
          <w:bCs/>
          <w:i/>
          <w:iCs/>
          <w:highlight w:val="yellow"/>
        </w:rPr>
        <w:t xml:space="preserve">Are </w:t>
      </w:r>
      <w:r>
        <w:rPr>
          <w:b/>
          <w:bCs/>
          <w:i/>
          <w:iCs/>
          <w:highlight w:val="yellow"/>
        </w:rPr>
        <w:t>individual cups in communion</w:t>
      </w:r>
      <w:r>
        <w:rPr>
          <w:b/>
          <w:bCs/>
          <w:i/>
          <w:iCs/>
          <w:highlight w:val="yellow"/>
        </w:rPr>
        <w:t xml:space="preserve"> sinful?</w:t>
      </w:r>
    </w:p>
    <w:p w:rsidR="00000000" w:rsidRDefault="009752B5"/>
    <w:p w:rsidR="00000000" w:rsidRDefault="009752B5">
      <w:r>
        <w:t xml:space="preserve">Last week we discussed instruments used in worship. </w:t>
      </w:r>
      <w:r>
        <w:t>We pointed out the church of the first century operated by the teachings of the apostles:</w:t>
      </w:r>
    </w:p>
    <w:p w:rsidR="00000000" w:rsidRDefault="009752B5"/>
    <w:p w:rsidR="00000000" w:rsidRDefault="009752B5"/>
    <w:p w:rsidR="00000000" w:rsidRDefault="009752B5" w:rsidP="009752B5">
      <w:pPr>
        <w:pStyle w:val="IntenseQuote"/>
      </w:pPr>
      <w:r>
        <w:t>Acts 2:42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t>42</w:t>
      </w:r>
      <w:r>
        <w:t xml:space="preserve"> </w:t>
      </w:r>
      <w:r>
        <w:t>And they continued st</w:t>
      </w:r>
      <w:r>
        <w:t xml:space="preserve">eadfastly in the apostles' doctrine and fellowship, in the breaking of bread, and in prayers. </w:t>
      </w:r>
    </w:p>
    <w:p w:rsidR="00000000" w:rsidRDefault="009752B5"/>
    <w:p w:rsidR="00000000" w:rsidRDefault="009752B5" w:rsidP="009752B5">
      <w:pPr>
        <w:pStyle w:val="IntenseQuote"/>
      </w:pPr>
      <w:r>
        <w:t>Colossians 3:17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t>17</w:t>
      </w:r>
      <w:r>
        <w:t xml:space="preserve"> </w:t>
      </w:r>
      <w:r>
        <w:t xml:space="preserve">And whatever you do in word or deed, do all in the name of the Lord Jesus, giving thanks to God the Father through Him. </w:t>
      </w:r>
    </w:p>
    <w:p w:rsidR="00000000" w:rsidRDefault="009752B5"/>
    <w:p w:rsidR="00000000" w:rsidRDefault="009752B5"/>
    <w:p w:rsidR="00000000" w:rsidRDefault="009752B5">
      <w:r>
        <w:rPr>
          <w:u w:val="single"/>
        </w:rPr>
        <w:t>This mean</w:t>
      </w:r>
      <w:r>
        <w:rPr>
          <w:u w:val="single"/>
        </w:rPr>
        <w:t>s</w:t>
      </w:r>
      <w:r>
        <w:t xml:space="preserve">: </w:t>
      </w:r>
      <w:r>
        <w:t xml:space="preserve">Everything taught and everything practiced had to be authorized by either Jesus or one of His official representatives – the apostles (2 Cor 5:20). </w:t>
      </w:r>
      <w:r>
        <w:t xml:space="preserve">Furthermore, that authorization was eventually reduced in written form (2 Tim 3:16-17). </w:t>
      </w:r>
      <w:r>
        <w:t>If there was n</w:t>
      </w:r>
      <w:r>
        <w:t xml:space="preserve">o written authorization instructions for instruments of music in worship, no one was permitted to add them. </w:t>
      </w:r>
    </w:p>
    <w:p w:rsidR="00000000" w:rsidRDefault="009752B5"/>
    <w:p w:rsidR="00000000" w:rsidRDefault="009752B5">
      <w:r>
        <w:t xml:space="preserve">Furthermore, we pointed out all the </w:t>
      </w:r>
      <w:r>
        <w:rPr>
          <w:i/>
          <w:iCs/>
        </w:rPr>
        <w:t>“do not add”</w:t>
      </w:r>
      <w:r>
        <w:t xml:space="preserve"> passages of the NT forbade adding anything which was left out of NT scriptures. </w:t>
      </w:r>
      <w:r>
        <w:t>In other words,</w:t>
      </w:r>
      <w:r>
        <w:t xml:space="preserve"> the silence of the NT scriptures is significant – it is authoritative. </w:t>
      </w:r>
      <w:r>
        <w:t xml:space="preserve">This is called “legislative silence.” </w:t>
      </w:r>
      <w:r>
        <w:t xml:space="preserve">According to 2 Tim 3:16-17, when God was silent about either a doctrine or practice, He was purposefully silent. </w:t>
      </w:r>
    </w:p>
    <w:p w:rsidR="00000000" w:rsidRDefault="009752B5"/>
    <w:p w:rsidR="00000000" w:rsidRDefault="009752B5">
      <w:r>
        <w:t>A male caller to</w:t>
      </w:r>
      <w:r>
        <w:t xml:space="preserve"> the</w:t>
      </w:r>
      <w:r>
        <w:t xml:space="preserve"> B</w:t>
      </w:r>
      <w:r>
        <w:t xml:space="preserve">ible </w:t>
      </w:r>
      <w:r>
        <w:t>T</w:t>
      </w:r>
      <w:r>
        <w:t xml:space="preserve">alk program called </w:t>
      </w:r>
      <w:r>
        <w:t>and left the following message</w:t>
      </w:r>
      <w:r>
        <w:t>:</w:t>
      </w:r>
    </w:p>
    <w:p w:rsidR="00000000" w:rsidRDefault="009752B5"/>
    <w:p w:rsidR="00000000" w:rsidRDefault="009752B5" w:rsidP="009752B5">
      <w:pPr>
        <w:pStyle w:val="BookQuote"/>
      </w:pPr>
      <w:r>
        <w:t>“</w:t>
      </w:r>
      <w:r>
        <w:t>This</w:t>
      </w:r>
      <w:r>
        <w:t xml:space="preserve"> is the most ludicrous message I hav</w:t>
      </w:r>
      <w:r>
        <w:t xml:space="preserve">e ever heard in my 38 ½ years of existence! </w:t>
      </w:r>
      <w:r>
        <w:t xml:space="preserve">The idea that if the NT is silent about something means we can’t do it?! </w:t>
      </w:r>
      <w:r>
        <w:t xml:space="preserve">Why … what would eliminate things like tithing, youth ministry, clothing ministry. </w:t>
      </w:r>
      <w:r>
        <w:t xml:space="preserve">You guys are so far out there, I’m not even going to </w:t>
      </w:r>
      <w:r>
        <w:t>begin to respond.”</w:t>
      </w:r>
    </w:p>
    <w:p w:rsidR="00000000" w:rsidRDefault="009752B5"/>
    <w:p w:rsidR="00000000" w:rsidRDefault="009752B5">
      <w:r>
        <w:lastRenderedPageBreak/>
        <w:t xml:space="preserve">This caller is correct. </w:t>
      </w:r>
      <w:r>
        <w:t xml:space="preserve">Anything not authorized by the apostles in the NT scriptures is UNAUTHORIZED and therefore forbidden. </w:t>
      </w:r>
      <w:r>
        <w:t xml:space="preserve">Silence does not permit. </w:t>
      </w:r>
      <w:r>
        <w:t>Silence forbids.</w:t>
      </w:r>
    </w:p>
    <w:p w:rsidR="00000000" w:rsidRDefault="009752B5"/>
    <w:p w:rsidR="00000000" w:rsidRDefault="009752B5">
      <w:bookmarkStart w:id="0" w:name="_GoBack"/>
      <w:bookmarkEnd w:id="0"/>
    </w:p>
    <w:p w:rsidR="00000000" w:rsidRDefault="009752B5"/>
    <w:p w:rsidR="00000000" w:rsidRDefault="009752B5" w:rsidP="009752B5">
      <w:pPr>
        <w:pStyle w:val="Heading1"/>
      </w:pPr>
      <w:r>
        <w:t>COMMUNION</w:t>
      </w:r>
    </w:p>
    <w:p w:rsidR="00000000" w:rsidRDefault="009752B5"/>
    <w:p w:rsidR="00000000" w:rsidRDefault="009752B5"/>
    <w:p w:rsidR="00000000" w:rsidRDefault="009752B5"/>
    <w:p w:rsidR="00000000" w:rsidRDefault="009752B5">
      <w:r>
        <w:t>Now we come to the question of usin</w:t>
      </w:r>
      <w:r>
        <w:t xml:space="preserve">g individual cups in the communion service. </w:t>
      </w:r>
      <w:r>
        <w:t xml:space="preserve">The question we are asking is this: </w:t>
      </w:r>
      <w:r>
        <w:rPr>
          <w:b/>
          <w:bCs/>
          <w:i/>
          <w:iCs/>
        </w:rPr>
        <w:t xml:space="preserve">Are individual communion cups authorized or are they not authorized? </w:t>
      </w:r>
      <w:r>
        <w:t xml:space="preserve">Furthermore, </w:t>
      </w:r>
      <w:r>
        <w:rPr>
          <w:b/>
          <w:bCs/>
          <w:i/>
          <w:iCs/>
        </w:rPr>
        <w:t>Does it even matter?</w:t>
      </w:r>
    </w:p>
    <w:p w:rsidR="00000000" w:rsidRDefault="009752B5"/>
    <w:p w:rsidR="00000000" w:rsidRDefault="009752B5"/>
    <w:p w:rsidR="00000000" w:rsidRDefault="009752B5" w:rsidP="009752B5">
      <w:pPr>
        <w:pStyle w:val="IntenseQuote"/>
      </w:pPr>
      <w:r>
        <w:t>1 Corinthians 11:2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t>2</w:t>
      </w:r>
      <w:r>
        <w:t xml:space="preserve"> </w:t>
      </w:r>
      <w:r>
        <w:t>Now I praise you, brethren, that you r</w:t>
      </w:r>
      <w:r>
        <w:t xml:space="preserve">emember me in all things and keep the traditions just as I delivered them to you. </w:t>
      </w:r>
    </w:p>
    <w:p w:rsidR="00000000" w:rsidRDefault="009752B5"/>
    <w:p w:rsidR="00000000" w:rsidRDefault="009752B5"/>
    <w:p w:rsidR="00000000" w:rsidRDefault="009752B5">
      <w:r>
        <w:t xml:space="preserve">Here the apostle praises the church at Corinth because they kept the traditions delivered by the apostles </w:t>
      </w:r>
      <w:r>
        <w:rPr>
          <w:i/>
          <w:iCs/>
        </w:rPr>
        <w:t>“just as they were delivered.”</w:t>
      </w:r>
      <w:r>
        <w:t xml:space="preserve"> </w:t>
      </w:r>
    </w:p>
    <w:p w:rsidR="00000000" w:rsidRDefault="009752B5"/>
    <w:p w:rsidR="00000000" w:rsidRDefault="009752B5">
      <w:r>
        <w:t>Why is it important to keep the</w:t>
      </w:r>
      <w:r>
        <w:t xml:space="preserve"> ordinances </w:t>
      </w:r>
      <w:r>
        <w:rPr>
          <w:i/>
          <w:iCs/>
        </w:rPr>
        <w:t>“just as they were delivered”</w:t>
      </w:r>
      <w:r>
        <w:t xml:space="preserve">? </w:t>
      </w:r>
      <w:r>
        <w:t xml:space="preserve">What difference does it make? </w:t>
      </w:r>
      <w:r>
        <w:t>Notice:</w:t>
      </w:r>
    </w:p>
    <w:p w:rsidR="00000000" w:rsidRDefault="009752B5"/>
    <w:p w:rsidR="00000000" w:rsidRDefault="009752B5"/>
    <w:p w:rsidR="00000000" w:rsidRDefault="009752B5" w:rsidP="009752B5">
      <w:pPr>
        <w:pStyle w:val="IntenseQuote"/>
      </w:pPr>
      <w:r>
        <w:t>1 Corinthians 11:23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t>23</w:t>
      </w:r>
      <w:r>
        <w:t xml:space="preserve"> </w:t>
      </w:r>
      <w:r>
        <w:t xml:space="preserve">For I received from the Lord that which I also delivered to you: … </w:t>
      </w:r>
    </w:p>
    <w:p w:rsidR="00000000" w:rsidRDefault="009752B5"/>
    <w:p w:rsidR="00000000" w:rsidRDefault="009752B5"/>
    <w:p w:rsidR="00000000" w:rsidRDefault="009752B5">
      <w:r>
        <w:t>The reason the ordinances must be kept exactly as they were delivered</w:t>
      </w:r>
      <w:r>
        <w:t xml:space="preserve"> is because what the apostles delivered came from the Lord Himself. </w:t>
      </w:r>
      <w:r>
        <w:t>Let’s keep reading and observe carefully:</w:t>
      </w:r>
    </w:p>
    <w:p w:rsidR="00000000" w:rsidRDefault="009752B5"/>
    <w:p w:rsidR="00000000" w:rsidRDefault="009752B5"/>
    <w:p w:rsidR="00000000" w:rsidRDefault="009752B5" w:rsidP="009752B5">
      <w:pPr>
        <w:pStyle w:val="IntenseQuote"/>
      </w:pPr>
      <w:r>
        <w:t>1 Corinthians 11:23-25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t>23</w:t>
      </w:r>
      <w:r>
        <w:t xml:space="preserve"> </w:t>
      </w:r>
      <w:r>
        <w:t>For I received from the Lord that which I also delivered to you: that the Lord Jesus on the same night in wh</w:t>
      </w:r>
      <w:r>
        <w:t xml:space="preserve">ich He was betrayed took bread; </w:t>
      </w:r>
      <w:r w:rsidRPr="009752B5">
        <w:rPr>
          <w:vertAlign w:val="superscript"/>
        </w:rPr>
        <w:t>24</w:t>
      </w:r>
      <w:r>
        <w:t> </w:t>
      </w:r>
      <w:r>
        <w:t xml:space="preserve">and when He had given thanks, He broke it and said, </w:t>
      </w:r>
      <w:r>
        <w:t xml:space="preserve">"Take, eat; this is My body which is broken for you; do this in remembrance of Me." </w:t>
      </w:r>
    </w:p>
    <w:p w:rsidR="00000000" w:rsidRDefault="009752B5" w:rsidP="009752B5">
      <w:pPr>
        <w:pStyle w:val="Quote"/>
      </w:pPr>
      <w:r w:rsidRPr="009752B5">
        <w:rPr>
          <w:vertAlign w:val="superscript"/>
        </w:rPr>
        <w:lastRenderedPageBreak/>
        <w:t>25</w:t>
      </w:r>
      <w:r>
        <w:t xml:space="preserve"> </w:t>
      </w:r>
      <w:r>
        <w:t xml:space="preserve">In the same manner He also took </w:t>
      </w:r>
      <w:r>
        <w:rPr>
          <w:b/>
          <w:bCs/>
        </w:rPr>
        <w:t>the cup</w:t>
      </w:r>
      <w:r>
        <w:t xml:space="preserve"> after supper, saying, "</w:t>
      </w:r>
      <w:r>
        <w:rPr>
          <w:b/>
          <w:bCs/>
        </w:rPr>
        <w:t>This cup is th</w:t>
      </w:r>
      <w:r>
        <w:rPr>
          <w:b/>
          <w:bCs/>
        </w:rPr>
        <w:t>e new covenant</w:t>
      </w:r>
      <w:r>
        <w:t xml:space="preserve"> in My blood. This do, as often as you drink it, in remembrance of Me." </w:t>
      </w:r>
    </w:p>
    <w:p w:rsidR="00000000" w:rsidRDefault="009752B5"/>
    <w:p w:rsidR="00000000" w:rsidRDefault="009752B5"/>
    <w:p w:rsidR="00000000" w:rsidRDefault="009752B5">
      <w:r>
        <w:t>Here we learn three simple and undeniable truths:</w:t>
      </w:r>
    </w:p>
    <w:p w:rsidR="00000000" w:rsidRDefault="009752B5"/>
    <w:p w:rsidR="00000000" w:rsidRDefault="009752B5">
      <w:pPr>
        <w:numPr>
          <w:ilvl w:val="0"/>
          <w:numId w:val="30"/>
        </w:numPr>
      </w:pPr>
      <w:r>
        <w:rPr>
          <w:b/>
          <w:bCs/>
          <w:u w:val="single"/>
        </w:rPr>
        <w:t>Jesus took only one cup when He instituted the communion</w:t>
      </w:r>
      <w:r>
        <w:t>.</w:t>
      </w:r>
    </w:p>
    <w:p w:rsidR="00000000" w:rsidRDefault="009752B5"/>
    <w:p w:rsidR="00000000" w:rsidRDefault="009752B5">
      <w:pPr>
        <w:numPr>
          <w:ilvl w:val="0"/>
          <w:numId w:val="30"/>
        </w:numPr>
      </w:pPr>
      <w:r>
        <w:rPr>
          <w:b/>
          <w:bCs/>
          <w:u w:val="single"/>
        </w:rPr>
        <w:t>When Jesus said, “This do,” He was issuing a command</w:t>
      </w:r>
      <w:r>
        <w:t>.</w:t>
      </w:r>
    </w:p>
    <w:p w:rsidR="00000000" w:rsidRDefault="009752B5"/>
    <w:p w:rsidR="00000000" w:rsidRDefault="009752B5">
      <w:r>
        <w:rPr>
          <w:i/>
          <w:iCs/>
        </w:rPr>
        <w:t>“</w:t>
      </w:r>
      <w:r>
        <w:rPr>
          <w:i/>
          <w:iCs/>
        </w:rPr>
        <w:t>This do”</w:t>
      </w:r>
      <w:r>
        <w:t xml:space="preserve"> means, </w:t>
      </w:r>
      <w:r>
        <w:rPr>
          <w:i/>
          <w:iCs/>
        </w:rPr>
        <w:t>“Do what I have done.”</w:t>
      </w:r>
      <w:r>
        <w:t xml:space="preserve"> </w:t>
      </w:r>
    </w:p>
    <w:p w:rsidR="00000000" w:rsidRDefault="009752B5"/>
    <w:p w:rsidR="00000000" w:rsidRDefault="009752B5">
      <w:r>
        <w:t xml:space="preserve">The usage of individual communion cups is wrong because Jesus explicitly commanded His disciples to do what He did. </w:t>
      </w:r>
      <w:r>
        <w:t xml:space="preserve">He did not use a plurality of cups. </w:t>
      </w:r>
      <w:r>
        <w:t>He used only one.</w:t>
      </w:r>
    </w:p>
    <w:p w:rsidR="00000000" w:rsidRDefault="009752B5"/>
    <w:p w:rsidR="00000000" w:rsidRDefault="009752B5">
      <w:pPr>
        <w:numPr>
          <w:ilvl w:val="0"/>
          <w:numId w:val="30"/>
        </w:numPr>
        <w:rPr>
          <w:b/>
          <w:bCs/>
          <w:u w:val="single"/>
        </w:rPr>
      </w:pPr>
      <w:r>
        <w:rPr>
          <w:b/>
          <w:bCs/>
          <w:u w:val="single"/>
        </w:rPr>
        <w:t>Jesus said, “This cup is the new covenant</w:t>
      </w:r>
      <w:r>
        <w:rPr>
          <w:b/>
          <w:bCs/>
          <w:u w:val="single"/>
        </w:rPr>
        <w:t xml:space="preserve">.” </w:t>
      </w:r>
    </w:p>
    <w:p w:rsidR="00000000" w:rsidRDefault="009752B5"/>
    <w:p w:rsidR="00000000" w:rsidRDefault="009752B5">
      <w:r>
        <w:t xml:space="preserve">In other words, the cup itself represent or symbolizes the NT which God made with His people. </w:t>
      </w:r>
      <w:r>
        <w:t xml:space="preserve">Since God made only one new covenant with His people, it is fitting that a singular object should symbolize that covenant. </w:t>
      </w:r>
      <w:r>
        <w:t>Jesus said the cup was a symbol</w:t>
      </w:r>
      <w:r>
        <w:t xml:space="preserve"> of that covenant.</w:t>
      </w:r>
    </w:p>
    <w:p w:rsidR="00000000" w:rsidRDefault="009752B5"/>
    <w:p w:rsidR="00000000" w:rsidRDefault="009752B5">
      <w:r>
        <w:t xml:space="preserve">The usage of individual cups originated with a Presbyterian preacher named J. G. Thomas, the founder of the Thomas Communion Company in 1894. </w:t>
      </w:r>
    </w:p>
    <w:p w:rsidR="00000000" w:rsidRDefault="009752B5"/>
    <w:p w:rsidR="00000000" w:rsidRDefault="009752B5">
      <w:r>
        <w:t xml:space="preserve">The NT scriptures are silent concerning the usage of individual cups in communion. </w:t>
      </w:r>
      <w:r>
        <w:t xml:space="preserve">However, </w:t>
      </w:r>
      <w:r>
        <w:t xml:space="preserve">the NT scriptures are not silent concerning the usage of one cup. </w:t>
      </w:r>
      <w:r>
        <w:t xml:space="preserve">Churches which use individual cups must look to an uninspired man for their practice. </w:t>
      </w:r>
      <w:r>
        <w:t>Churches using a single cup look to the inspired apostles for their practice – it’s that simple.</w:t>
      </w:r>
    </w:p>
    <w:p w:rsidR="00000000" w:rsidRDefault="009752B5"/>
    <w:p w:rsidR="00000000" w:rsidRDefault="009752B5">
      <w:r>
        <w:t>Indi</w:t>
      </w:r>
      <w:r>
        <w:t xml:space="preserve">vidual cups are forbidden by the silence of the NT scriptures. </w:t>
      </w:r>
      <w:r>
        <w:t xml:space="preserve">The NT scriptures contain every good work a man or church could possibly do (2 Tim 3:16-17). </w:t>
      </w:r>
      <w:r>
        <w:t xml:space="preserve">If something is done which the scriptures are silent about, it is not </w:t>
      </w:r>
      <w:r>
        <w:rPr>
          <w:i/>
          <w:iCs/>
        </w:rPr>
        <w:t>“good”</w:t>
      </w:r>
      <w:r>
        <w:t xml:space="preserve"> – it’s that simple.</w:t>
      </w:r>
    </w:p>
    <w:p w:rsidR="00000000" w:rsidRDefault="009752B5"/>
    <w:p w:rsidR="00000000" w:rsidRDefault="009752B5"/>
    <w:p w:rsidR="00000000" w:rsidRDefault="009752B5"/>
    <w:p w:rsidR="009752B5" w:rsidRPr="00BB5D7B" w:rsidRDefault="009752B5" w:rsidP="009752B5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9752B5" w:rsidRPr="00BB5D7B" w:rsidRDefault="009752B5" w:rsidP="009752B5">
      <w:pPr>
        <w:rPr>
          <w:rFonts w:ascii="Calibri" w:eastAsia="Calibri" w:hAnsi="Calibri"/>
        </w:rPr>
      </w:pPr>
    </w:p>
    <w:p w:rsidR="009752B5" w:rsidRPr="00BB5D7B" w:rsidRDefault="009752B5" w:rsidP="009752B5">
      <w:pPr>
        <w:rPr>
          <w:rFonts w:ascii="Calibri" w:eastAsia="Calibri" w:hAnsi="Calibri"/>
        </w:rPr>
      </w:pPr>
    </w:p>
    <w:p w:rsidR="009752B5" w:rsidRPr="00BB5D7B" w:rsidRDefault="009752B5" w:rsidP="009752B5">
      <w:pPr>
        <w:rPr>
          <w:rFonts w:ascii="Calibri" w:eastAsia="Calibri" w:hAnsi="Calibri"/>
        </w:rPr>
      </w:pPr>
    </w:p>
    <w:p w:rsidR="009752B5" w:rsidRPr="00BB5D7B" w:rsidRDefault="009752B5" w:rsidP="009752B5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lastRenderedPageBreak/>
        <w:t xml:space="preserve">Well … thanks for listening to our message this week.  </w:t>
      </w:r>
      <w:r w:rsidRPr="00BB5D7B">
        <w:rPr>
          <w:rFonts w:ascii="Calibri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  <w:iCs/>
        </w:rPr>
        <w:t xml:space="preserve">There you may download the notes and the audio file of the message you just listened to.  </w:t>
      </w:r>
    </w:p>
    <w:p w:rsidR="009752B5" w:rsidRPr="00BB5D7B" w:rsidRDefault="009752B5" w:rsidP="009752B5">
      <w:pPr>
        <w:rPr>
          <w:rFonts w:ascii="Calibri" w:eastAsia="Calibri" w:hAnsi="Calibri"/>
        </w:rPr>
      </w:pPr>
    </w:p>
    <w:p w:rsidR="009752B5" w:rsidRPr="00BB5D7B" w:rsidRDefault="009752B5" w:rsidP="009752B5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9752B5" w:rsidRPr="00BB5D7B" w:rsidRDefault="009752B5" w:rsidP="009752B5">
      <w:pPr>
        <w:rPr>
          <w:rFonts w:ascii="Calibri" w:hAnsi="Calibri" w:cs="Calibri"/>
          <w:iCs/>
        </w:rPr>
      </w:pPr>
    </w:p>
    <w:p w:rsidR="00000000" w:rsidRDefault="009752B5"/>
    <w:sectPr w:rsidR="00000000">
      <w:footerReference w:type="default" r:id="rId9"/>
      <w:headerReference w:type="first" r:id="rId10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52B5">
      <w:r>
        <w:separator/>
      </w:r>
    </w:p>
  </w:endnote>
  <w:endnote w:type="continuationSeparator" w:id="0">
    <w:p w:rsidR="00000000" w:rsidRDefault="0097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52B5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52B5">
      <w:r>
        <w:separator/>
      </w:r>
    </w:p>
  </w:footnote>
  <w:footnote w:type="continuationSeparator" w:id="0">
    <w:p w:rsidR="00000000" w:rsidRDefault="0097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752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96B61"/>
    <w:multiLevelType w:val="hybridMultilevel"/>
    <w:tmpl w:val="67F0C896"/>
    <w:lvl w:ilvl="0" w:tplc="A6B645BE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73D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4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7"/>
  </w:num>
  <w:num w:numId="2">
    <w:abstractNumId w:val="3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12"/>
  </w:num>
  <w:num w:numId="7">
    <w:abstractNumId w:val="5"/>
  </w:num>
  <w:num w:numId="8">
    <w:abstractNumId w:val="24"/>
  </w:num>
  <w:num w:numId="9">
    <w:abstractNumId w:val="16"/>
  </w:num>
  <w:num w:numId="10">
    <w:abstractNumId w:val="26"/>
  </w:num>
  <w:num w:numId="11">
    <w:abstractNumId w:val="10"/>
  </w:num>
  <w:num w:numId="12">
    <w:abstractNumId w:val="18"/>
  </w:num>
  <w:num w:numId="13">
    <w:abstractNumId w:val="27"/>
  </w:num>
  <w:num w:numId="14">
    <w:abstractNumId w:val="9"/>
  </w:num>
  <w:num w:numId="15">
    <w:abstractNumId w:val="14"/>
  </w:num>
  <w:num w:numId="16">
    <w:abstractNumId w:val="15"/>
  </w:num>
  <w:num w:numId="17">
    <w:abstractNumId w:val="3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25"/>
  </w:num>
  <w:num w:numId="23">
    <w:abstractNumId w:val="19"/>
  </w:num>
  <w:num w:numId="24">
    <w:abstractNumId w:val="17"/>
  </w:num>
  <w:num w:numId="25">
    <w:abstractNumId w:val="11"/>
  </w:num>
  <w:num w:numId="26">
    <w:abstractNumId w:val="29"/>
  </w:num>
  <w:num w:numId="27">
    <w:abstractNumId w:val="3"/>
  </w:num>
  <w:num w:numId="28">
    <w:abstractNumId w:val="6"/>
  </w:num>
  <w:num w:numId="29">
    <w:abstractNumId w:val="2"/>
  </w:num>
  <w:num w:numId="30">
    <w:abstractNumId w:val="4"/>
  </w:num>
  <w:num w:numId="31">
    <w:abstractNumId w:val="20"/>
  </w:num>
  <w:num w:numId="32">
    <w:abstractNumId w:val="31"/>
  </w:num>
  <w:num w:numId="33">
    <w:abstractNumId w:val="21"/>
  </w:num>
  <w:num w:numId="34">
    <w:abstractNumId w:val="0"/>
  </w:num>
  <w:num w:numId="35">
    <w:abstractNumId w:val="0"/>
  </w:num>
  <w:num w:numId="36">
    <w:abstractNumId w:val="1"/>
  </w:num>
  <w:num w:numId="37">
    <w:abstractNumId w:val="1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B5"/>
    <w:rsid w:val="009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752B5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B5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52B5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52B5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752B5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752B5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752B5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752B5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752B5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B5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9752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52B5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752B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752B5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9752B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9752B5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9752B5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752B5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9752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B5"/>
    <w:rPr>
      <w:b/>
      <w:bCs/>
      <w:sz w:val="18"/>
      <w:szCs w:val="18"/>
    </w:rPr>
  </w:style>
  <w:style w:type="character" w:styleId="Emphasis">
    <w:name w:val="Emphasis"/>
    <w:uiPriority w:val="20"/>
    <w:qFormat/>
    <w:rsid w:val="009752B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9752B5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752B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52B5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52B5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9752B5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752B5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752B5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752B5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752B5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B5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B5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9752B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752B5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9752B5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9752B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9752B5"/>
    <w:pPr>
      <w:numPr>
        <w:numId w:val="3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752B5"/>
    <w:pPr>
      <w:numPr>
        <w:numId w:val="3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9752B5"/>
    <w:pPr>
      <w:numPr>
        <w:numId w:val="37"/>
      </w:numPr>
      <w:contextualSpacing/>
    </w:pPr>
  </w:style>
  <w:style w:type="paragraph" w:styleId="ListParagraph">
    <w:name w:val="List Paragraph"/>
    <w:basedOn w:val="Normal"/>
    <w:uiPriority w:val="34"/>
    <w:qFormat/>
    <w:rsid w:val="009752B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9752B5"/>
  </w:style>
  <w:style w:type="character" w:customStyle="1" w:styleId="NoSpacingChar">
    <w:name w:val="No Spacing Char"/>
    <w:basedOn w:val="DefaultParagraphFont"/>
    <w:link w:val="NoSpacing"/>
    <w:uiPriority w:val="99"/>
    <w:rsid w:val="009752B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752B5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9752B5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9752B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B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752B5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9752B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9752B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9752B5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752B5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B5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9752B5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9752B5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752B5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B5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52B5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52B5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752B5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752B5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752B5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752B5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752B5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B5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9752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52B5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752B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9752B5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9752B5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9752B5"/>
    <w:pPr>
      <w:numPr>
        <w:numId w:val="32"/>
      </w:numPr>
    </w:pPr>
  </w:style>
  <w:style w:type="paragraph" w:customStyle="1" w:styleId="abc-singlespace">
    <w:name w:val="abc-single space"/>
    <w:basedOn w:val="Normal"/>
    <w:link w:val="abc-singlespaceChar"/>
    <w:rsid w:val="009752B5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752B5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9752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B5"/>
    <w:rPr>
      <w:b/>
      <w:bCs/>
      <w:sz w:val="18"/>
      <w:szCs w:val="18"/>
    </w:rPr>
  </w:style>
  <w:style w:type="character" w:styleId="Emphasis">
    <w:name w:val="Emphasis"/>
    <w:uiPriority w:val="20"/>
    <w:qFormat/>
    <w:rsid w:val="009752B5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9752B5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752B5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52B5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52B5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9752B5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752B5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752B5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752B5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752B5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B5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B5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9752B5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752B5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9752B5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9752B5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9752B5"/>
    <w:pPr>
      <w:numPr>
        <w:numId w:val="38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752B5"/>
    <w:pPr>
      <w:numPr>
        <w:numId w:val="3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9752B5"/>
    <w:pPr>
      <w:numPr>
        <w:numId w:val="37"/>
      </w:numPr>
      <w:contextualSpacing/>
    </w:pPr>
  </w:style>
  <w:style w:type="paragraph" w:styleId="ListParagraph">
    <w:name w:val="List Paragraph"/>
    <w:basedOn w:val="Normal"/>
    <w:uiPriority w:val="34"/>
    <w:qFormat/>
    <w:rsid w:val="009752B5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9752B5"/>
  </w:style>
  <w:style w:type="character" w:customStyle="1" w:styleId="NoSpacingChar">
    <w:name w:val="No Spacing Char"/>
    <w:basedOn w:val="DefaultParagraphFont"/>
    <w:link w:val="NoSpacing"/>
    <w:uiPriority w:val="99"/>
    <w:rsid w:val="009752B5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752B5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9752B5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9752B5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B5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752B5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9752B5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9752B5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9752B5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752B5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B5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9752B5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9752B5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</cp:revision>
  <dcterms:created xsi:type="dcterms:W3CDTF">2014-09-08T17:50:00Z</dcterms:created>
  <dcterms:modified xsi:type="dcterms:W3CDTF">2014-09-08T17:50:00Z</dcterms:modified>
</cp:coreProperties>
</file>