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0833" w:rsidP="000A0833">
      <w:pPr>
        <w:pStyle w:val="Title"/>
      </w:pPr>
      <w:r>
        <w:t>BIBLE TALK</w:t>
      </w:r>
    </w:p>
    <w:p w:rsidR="00000000" w:rsidRDefault="000A0833"/>
    <w:p w:rsidR="00000000" w:rsidRDefault="000A0833"/>
    <w:p w:rsidR="00000000" w:rsidRDefault="000A0833"/>
    <w:p w:rsidR="00000000" w:rsidRDefault="000A0833">
      <w:r>
        <w:rPr>
          <w:u w:val="single"/>
        </w:rPr>
        <w:t>This week the question is</w:t>
      </w:r>
      <w:r>
        <w:t xml:space="preserve">: </w:t>
      </w:r>
      <w:r>
        <w:rPr>
          <w:b/>
          <w:bCs/>
          <w:i/>
          <w:iCs/>
          <w:highlight w:val="yellow"/>
        </w:rPr>
        <w:t>Are a plurality of loaves or wafers the proper way to observe communion</w:t>
      </w:r>
      <w:r>
        <w:rPr>
          <w:b/>
          <w:bCs/>
          <w:i/>
          <w:iCs/>
          <w:highlight w:val="yellow"/>
        </w:rPr>
        <w:t>?</w:t>
      </w:r>
    </w:p>
    <w:p w:rsidR="00000000" w:rsidRDefault="000A0833"/>
    <w:p w:rsidR="00000000" w:rsidRDefault="000A0833">
      <w:r>
        <w:t xml:space="preserve">We have noticed in the past two weeks an important principle taught in scripture – that principle is this: </w:t>
      </w:r>
      <w:r>
        <w:rPr>
          <w:b/>
          <w:bCs/>
          <w:i/>
          <w:iCs/>
        </w:rPr>
        <w:t>Bible silence forbids</w:t>
      </w:r>
      <w:r>
        <w:t xml:space="preserve">. </w:t>
      </w:r>
    </w:p>
    <w:p w:rsidR="00000000" w:rsidRDefault="000A0833"/>
    <w:p w:rsidR="00000000" w:rsidRDefault="000A0833">
      <w:r>
        <w:t xml:space="preserve">This means when the Bible is silent about a doctrine or practice, we are forbidden to teach the doctrine or participate </w:t>
      </w:r>
      <w:r>
        <w:t xml:space="preserve">in the practice. </w:t>
      </w:r>
    </w:p>
    <w:p w:rsidR="00000000" w:rsidRDefault="000A0833"/>
    <w:p w:rsidR="00000000" w:rsidRDefault="000A0833">
      <w:r>
        <w:rPr>
          <w:b/>
          <w:bCs/>
          <w:u w:val="single"/>
        </w:rPr>
        <w:t>For example</w:t>
      </w:r>
      <w:r>
        <w:t xml:space="preserve">: </w:t>
      </w:r>
      <w:r>
        <w:t xml:space="preserve">According to Heb 1:5, the scriptures are silent about any angel being the Son of God. </w:t>
      </w:r>
      <w:r>
        <w:t xml:space="preserve">Therefore, we are strictly forbidden to teach that the Son of God was ever an angel … because </w:t>
      </w:r>
      <w:r>
        <w:rPr>
          <w:b/>
          <w:bCs/>
          <w:i/>
          <w:iCs/>
        </w:rPr>
        <w:t>Bible silence forbids</w:t>
      </w:r>
      <w:r>
        <w:t>.</w:t>
      </w:r>
    </w:p>
    <w:p w:rsidR="00000000" w:rsidRDefault="000A0833"/>
    <w:p w:rsidR="00000000" w:rsidRDefault="000A0833">
      <w:r>
        <w:rPr>
          <w:b/>
          <w:bCs/>
          <w:u w:val="single"/>
        </w:rPr>
        <w:t>Again</w:t>
      </w:r>
      <w:r>
        <w:t xml:space="preserve">: </w:t>
      </w:r>
      <w:r>
        <w:t>According</w:t>
      </w:r>
      <w:r>
        <w:t xml:space="preserve"> to Heb 7:14, the scriptures were silent about priests coming from the tribe of Levi. </w:t>
      </w:r>
      <w:r>
        <w:t xml:space="preserve">Therefore, Jesus Himself … think about this … Jesus Himself was forbidden to be a priest because </w:t>
      </w:r>
      <w:r>
        <w:rPr>
          <w:b/>
          <w:bCs/>
          <w:i/>
          <w:iCs/>
        </w:rPr>
        <w:t>Bible silence forbids</w:t>
      </w:r>
      <w:r>
        <w:t>.</w:t>
      </w:r>
    </w:p>
    <w:p w:rsidR="00000000" w:rsidRDefault="000A0833"/>
    <w:p w:rsidR="00000000" w:rsidRDefault="000A0833">
      <w:pPr>
        <w:ind w:left="720"/>
      </w:pPr>
      <w:r>
        <w:t xml:space="preserve">We noticed the Bible is silent about </w:t>
      </w:r>
      <w:r>
        <w:rPr>
          <w:b/>
          <w:bCs/>
          <w:i/>
          <w:iCs/>
        </w:rPr>
        <w:t>instrumenta</w:t>
      </w:r>
      <w:r>
        <w:rPr>
          <w:b/>
          <w:bCs/>
          <w:i/>
          <w:iCs/>
        </w:rPr>
        <w:t>l music</w:t>
      </w:r>
      <w:r>
        <w:t xml:space="preserve"> in NT worship. </w:t>
      </w:r>
      <w:r>
        <w:t xml:space="preserve">It is therefore forbidden because </w:t>
      </w:r>
      <w:r>
        <w:rPr>
          <w:u w:val="single"/>
        </w:rPr>
        <w:t>Bible silence forbids</w:t>
      </w:r>
      <w:r>
        <w:t>.</w:t>
      </w:r>
    </w:p>
    <w:p w:rsidR="00000000" w:rsidRDefault="000A0833">
      <w:pPr>
        <w:ind w:left="720"/>
      </w:pPr>
    </w:p>
    <w:p w:rsidR="00000000" w:rsidRDefault="000A0833">
      <w:pPr>
        <w:ind w:left="720"/>
      </w:pPr>
      <w:r>
        <w:t xml:space="preserve">We notice the Bible is silent about </w:t>
      </w:r>
      <w:r>
        <w:rPr>
          <w:b/>
          <w:bCs/>
          <w:i/>
          <w:iCs/>
        </w:rPr>
        <w:t>individual communion cups</w:t>
      </w:r>
      <w:r>
        <w:t xml:space="preserve">. </w:t>
      </w:r>
      <w:r>
        <w:t xml:space="preserve">They are therefore forbidden because </w:t>
      </w:r>
      <w:r>
        <w:rPr>
          <w:u w:val="single"/>
        </w:rPr>
        <w:t>Bible silence forbids</w:t>
      </w:r>
      <w:r>
        <w:t>.</w:t>
      </w:r>
    </w:p>
    <w:p w:rsidR="00000000" w:rsidRDefault="000A0833"/>
    <w:p w:rsidR="00000000" w:rsidRDefault="000A0833"/>
    <w:p w:rsidR="00000000" w:rsidRDefault="000A0833"/>
    <w:p w:rsidR="00000000" w:rsidRDefault="000A0833" w:rsidP="000A0833">
      <w:pPr>
        <w:pStyle w:val="Heading1"/>
      </w:pPr>
      <w:r>
        <w:t>LOAVES/WAFERS</w:t>
      </w:r>
    </w:p>
    <w:p w:rsidR="00000000" w:rsidRDefault="000A0833"/>
    <w:p w:rsidR="00000000" w:rsidRDefault="000A0833"/>
    <w:p w:rsidR="00000000" w:rsidRDefault="000A0833"/>
    <w:p w:rsidR="00000000" w:rsidRDefault="000A0833">
      <w:r>
        <w:t xml:space="preserve">Now we come to the subject of </w:t>
      </w:r>
      <w:r>
        <w:t xml:space="preserve">plurality of loaves or the use of wafers in communion. </w:t>
      </w:r>
      <w:r>
        <w:t xml:space="preserve">In most congregations, when it comes time to observe the communion, there will be a plurality of loaves and most often simply a tray full of individual wafers for each communicant to partake of. </w:t>
      </w:r>
    </w:p>
    <w:p w:rsidR="00000000" w:rsidRDefault="000A0833"/>
    <w:p w:rsidR="00000000" w:rsidRDefault="000A0833">
      <w:pPr>
        <w:ind w:left="1440"/>
      </w:pPr>
      <w:r>
        <w:rPr>
          <w:b/>
          <w:bCs/>
          <w:i/>
          <w:iCs/>
        </w:rPr>
        <w:lastRenderedPageBreak/>
        <w:t>Is this what Jesus and the apostles did and does it mak</w:t>
      </w:r>
      <w:r>
        <w:rPr>
          <w:b/>
          <w:bCs/>
          <w:i/>
          <w:iCs/>
        </w:rPr>
        <w:t xml:space="preserve">e any difference? </w:t>
      </w:r>
      <w:r>
        <w:t xml:space="preserve">That is the question we’re exploring in our study this week. </w:t>
      </w:r>
    </w:p>
    <w:p w:rsidR="00000000" w:rsidRDefault="000A0833"/>
    <w:p w:rsidR="00000000" w:rsidRDefault="000A0833"/>
    <w:p w:rsidR="00000000" w:rsidRDefault="000A0833">
      <w:r>
        <w:t>Notice carefully as I read from the NT scriptures:</w:t>
      </w:r>
    </w:p>
    <w:p w:rsidR="00000000" w:rsidRDefault="000A0833"/>
    <w:p w:rsidR="00000000" w:rsidRDefault="000A0833"/>
    <w:p w:rsidR="00000000" w:rsidRDefault="000A0833" w:rsidP="000A0833">
      <w:pPr>
        <w:pStyle w:val="IntenseQuote"/>
      </w:pPr>
      <w:r>
        <w:t>Matthew 26:26</w:t>
      </w:r>
    </w:p>
    <w:p w:rsidR="00000000" w:rsidRDefault="000A0833" w:rsidP="000A0833">
      <w:pPr>
        <w:pStyle w:val="Quote"/>
      </w:pPr>
      <w:r w:rsidRPr="000A0833">
        <w:rPr>
          <w:vertAlign w:val="superscript"/>
        </w:rPr>
        <w:t>26</w:t>
      </w:r>
      <w:r>
        <w:t xml:space="preserve"> </w:t>
      </w:r>
      <w:r>
        <w:t xml:space="preserve">And as they were eating, Jesus took bread, blessed and broke it, and gave it to the disciples </w:t>
      </w:r>
      <w:r>
        <w:t xml:space="preserve">and said, "Take, eat; this is My body." </w:t>
      </w:r>
    </w:p>
    <w:p w:rsidR="00000000" w:rsidRDefault="000A0833"/>
    <w:p w:rsidR="00000000" w:rsidRDefault="000A0833"/>
    <w:p w:rsidR="00000000" w:rsidRDefault="000A0833">
      <w:r>
        <w:t xml:space="preserve">Notice carefully: </w:t>
      </w:r>
      <w:r>
        <w:t xml:space="preserve">Jesus took bread. </w:t>
      </w:r>
      <w:r>
        <w:t xml:space="preserve">This word is singular in the Greek. </w:t>
      </w:r>
      <w:r>
        <w:t xml:space="preserve">In other words, Jesus took a single loaf of unleavened bread. </w:t>
      </w:r>
      <w:r>
        <w:t xml:space="preserve">Further, the scripture says Jesus </w:t>
      </w:r>
      <w:r>
        <w:rPr>
          <w:i/>
          <w:iCs/>
        </w:rPr>
        <w:t xml:space="preserve">“blessed and broke </w:t>
      </w:r>
      <w:r>
        <w:rPr>
          <w:b/>
          <w:bCs/>
          <w:i/>
          <w:iCs/>
          <w:u w:val="single"/>
        </w:rPr>
        <w:t>it</w:t>
      </w:r>
      <w:r>
        <w:rPr>
          <w:i/>
          <w:iCs/>
        </w:rPr>
        <w:t xml:space="preserve">.” </w:t>
      </w:r>
      <w:r>
        <w:t>That’s singular</w:t>
      </w:r>
      <w:r>
        <w:t xml:space="preserve">. </w:t>
      </w:r>
      <w:r>
        <w:t xml:space="preserve">He did not bless and break </w:t>
      </w:r>
      <w:r>
        <w:rPr>
          <w:i/>
          <w:iCs/>
        </w:rPr>
        <w:t xml:space="preserve">“them” </w:t>
      </w:r>
      <w:r>
        <w:t xml:space="preserve">– as if He had a plurality of objects. </w:t>
      </w:r>
      <w:r>
        <w:t xml:space="preserve">Finally, Jesus said, </w:t>
      </w:r>
      <w:r>
        <w:rPr>
          <w:i/>
          <w:iCs/>
        </w:rPr>
        <w:t xml:space="preserve">“Take, eat; </w:t>
      </w:r>
      <w:r>
        <w:rPr>
          <w:b/>
          <w:bCs/>
          <w:i/>
          <w:iCs/>
          <w:u w:val="single"/>
        </w:rPr>
        <w:t>this</w:t>
      </w:r>
      <w:r>
        <w:rPr>
          <w:i/>
          <w:iCs/>
        </w:rPr>
        <w:t xml:space="preserve"> is My body.”</w:t>
      </w:r>
      <w:r>
        <w:t xml:space="preserve"> </w:t>
      </w:r>
      <w:r>
        <w:t xml:space="preserve">The word </w:t>
      </w:r>
      <w:r>
        <w:rPr>
          <w:i/>
          <w:iCs/>
        </w:rPr>
        <w:t xml:space="preserve">“this” </w:t>
      </w:r>
      <w:r>
        <w:t xml:space="preserve">is singular. </w:t>
      </w:r>
      <w:r>
        <w:t xml:space="preserve">He did not say, </w:t>
      </w:r>
      <w:r>
        <w:rPr>
          <w:i/>
          <w:iCs/>
        </w:rPr>
        <w:t xml:space="preserve">“These are My body,” </w:t>
      </w:r>
      <w:r>
        <w:t>as He would have said had He used a plurality of loaves.</w:t>
      </w:r>
    </w:p>
    <w:p w:rsidR="00000000" w:rsidRDefault="000A0833"/>
    <w:p w:rsidR="00000000" w:rsidRDefault="000A0833">
      <w:r>
        <w:t>We</w:t>
      </w:r>
      <w:r>
        <w:t xml:space="preserve"> know from the grammar that Jesus used only a single loaf of unleavened bread. </w:t>
      </w:r>
      <w:r>
        <w:t xml:space="preserve">We also know why He used only one loaf: </w:t>
      </w:r>
      <w:r>
        <w:rPr>
          <w:b/>
          <w:bCs/>
          <w:i/>
          <w:iCs/>
        </w:rPr>
        <w:t>It symbolized His body</w:t>
      </w:r>
      <w:r>
        <w:t xml:space="preserve"> and of course He had only one body.</w:t>
      </w:r>
    </w:p>
    <w:p w:rsidR="00000000" w:rsidRDefault="000A0833"/>
    <w:p w:rsidR="00000000" w:rsidRDefault="000A0833">
      <w:r>
        <w:t>Let’s notice some other passages and see if this conclusion is valid:</w:t>
      </w:r>
    </w:p>
    <w:p w:rsidR="00000000" w:rsidRDefault="000A0833"/>
    <w:p w:rsidR="00000000" w:rsidRDefault="000A0833"/>
    <w:p w:rsidR="00000000" w:rsidRDefault="000A0833" w:rsidP="000A0833">
      <w:pPr>
        <w:pStyle w:val="IntenseQuote"/>
      </w:pPr>
      <w:r>
        <w:t>Mar</w:t>
      </w:r>
      <w:r>
        <w:t>k 14:22</w:t>
      </w:r>
    </w:p>
    <w:p w:rsidR="00000000" w:rsidRDefault="000A0833" w:rsidP="000A0833">
      <w:pPr>
        <w:pStyle w:val="Quote"/>
      </w:pPr>
      <w:r w:rsidRPr="000A0833">
        <w:rPr>
          <w:vertAlign w:val="superscript"/>
        </w:rPr>
        <w:t>22</w:t>
      </w:r>
      <w:r>
        <w:t xml:space="preserve"> </w:t>
      </w:r>
      <w:r>
        <w:t xml:space="preserve">And as they were eating, Jesus took bread, blessed and broke it, and gave it to them and said, "Take, eat; this is My body." </w:t>
      </w:r>
    </w:p>
    <w:p w:rsidR="00000000" w:rsidRDefault="000A0833"/>
    <w:p w:rsidR="00000000" w:rsidRDefault="000A0833" w:rsidP="000A0833">
      <w:pPr>
        <w:pStyle w:val="IntenseQuote"/>
      </w:pPr>
      <w:r>
        <w:t>Luke 22:19</w:t>
      </w:r>
    </w:p>
    <w:p w:rsidR="00000000" w:rsidRDefault="000A0833" w:rsidP="000A0833">
      <w:pPr>
        <w:pStyle w:val="Quote"/>
      </w:pPr>
      <w:r w:rsidRPr="000A0833">
        <w:rPr>
          <w:vertAlign w:val="superscript"/>
        </w:rPr>
        <w:t>19</w:t>
      </w:r>
      <w:r>
        <w:t xml:space="preserve"> </w:t>
      </w:r>
      <w:r>
        <w:t>And He took bread, gave thanks and broke it, and gave it to them, saying, "This is My</w:t>
      </w:r>
      <w:r>
        <w:t xml:space="preserve"> body which is given for you; do this in remembrance of Me." </w:t>
      </w:r>
    </w:p>
    <w:p w:rsidR="00000000" w:rsidRDefault="000A0833"/>
    <w:p w:rsidR="00000000" w:rsidRDefault="000A0833" w:rsidP="000A0833">
      <w:pPr>
        <w:pStyle w:val="IntenseQuote"/>
      </w:pPr>
      <w:r>
        <w:t>1 Corinthians 11:23-24</w:t>
      </w:r>
    </w:p>
    <w:p w:rsidR="00000000" w:rsidRDefault="000A0833" w:rsidP="000A0833">
      <w:pPr>
        <w:pStyle w:val="Quote"/>
      </w:pPr>
      <w:r w:rsidRPr="000A0833">
        <w:rPr>
          <w:vertAlign w:val="superscript"/>
        </w:rPr>
        <w:t>23</w:t>
      </w:r>
      <w:r>
        <w:t xml:space="preserve"> </w:t>
      </w:r>
      <w:r>
        <w:t xml:space="preserve">For I received from the Lord that which I also delivered to you: that the Lord Jesus on the same night in which He was betrayed took bread; </w:t>
      </w:r>
    </w:p>
    <w:p w:rsidR="00000000" w:rsidRDefault="000A0833" w:rsidP="000A0833">
      <w:pPr>
        <w:pStyle w:val="Quote"/>
      </w:pPr>
      <w:r w:rsidRPr="000A0833">
        <w:rPr>
          <w:vertAlign w:val="superscript"/>
        </w:rPr>
        <w:t>24</w:t>
      </w:r>
      <w:r>
        <w:t xml:space="preserve"> </w:t>
      </w:r>
      <w:r>
        <w:t xml:space="preserve">and when He </w:t>
      </w:r>
      <w:r>
        <w:t xml:space="preserve">had given thanks, He broke it and said, </w:t>
      </w:r>
      <w:r>
        <w:t xml:space="preserve">"Take, eat; this is My body which is broken for you; do this in remembrance of Me." </w:t>
      </w:r>
    </w:p>
    <w:p w:rsidR="00000000" w:rsidRDefault="000A0833"/>
    <w:p w:rsidR="00000000" w:rsidRDefault="000A0833" w:rsidP="000A0833">
      <w:pPr>
        <w:pStyle w:val="IntenseQuote"/>
      </w:pPr>
      <w:r>
        <w:t>1 Corinthians 10:16-17</w:t>
      </w:r>
    </w:p>
    <w:p w:rsidR="00000000" w:rsidRDefault="000A0833" w:rsidP="000A0833">
      <w:pPr>
        <w:pStyle w:val="Quote"/>
      </w:pPr>
      <w:r w:rsidRPr="000A0833">
        <w:rPr>
          <w:vertAlign w:val="superscript"/>
        </w:rPr>
        <w:lastRenderedPageBreak/>
        <w:t>16</w:t>
      </w:r>
      <w:r>
        <w:t xml:space="preserve"> </w:t>
      </w:r>
      <w:r>
        <w:t xml:space="preserve">The cup of blessing which we bless, is it not the communion of the blood of Christ? The bread </w:t>
      </w:r>
      <w:r>
        <w:t xml:space="preserve">which we break, is it not the communion of the body of Christ? </w:t>
      </w:r>
      <w:r w:rsidRPr="000A0833">
        <w:rPr>
          <w:vertAlign w:val="superscript"/>
        </w:rPr>
        <w:t>17</w:t>
      </w:r>
      <w:r>
        <w:t> </w:t>
      </w:r>
      <w:r>
        <w:t xml:space="preserve">For we, though many, are one bread and one body; for we all partake of that one bread. </w:t>
      </w:r>
    </w:p>
    <w:p w:rsidR="00000000" w:rsidRDefault="000A0833"/>
    <w:p w:rsidR="00000000" w:rsidRDefault="000A0833"/>
    <w:p w:rsidR="00000000" w:rsidRDefault="000A0833">
      <w:r>
        <w:t>In all the NT accounts of the communion, the unanimous conclusion is that Jesus took only one loaf</w:t>
      </w:r>
      <w:r>
        <w:t xml:space="preserve"> of unleavened bread, He blessed it, broke off a portion to eat and gave to the disciples with instructions to do the same thing He had done. </w:t>
      </w:r>
      <w:r>
        <w:t xml:space="preserve">Each disciple was to receive the one loaf and break from it to eat in remembrance of Jesus’ sacrificed body. </w:t>
      </w:r>
    </w:p>
    <w:p w:rsidR="00000000" w:rsidRDefault="000A0833"/>
    <w:p w:rsidR="00000000" w:rsidRDefault="000A0833">
      <w:r>
        <w:t>T</w:t>
      </w:r>
      <w:r>
        <w:t xml:space="preserve">his is not difficult. </w:t>
      </w:r>
      <w:r>
        <w:t xml:space="preserve">However, for some inexplicable reason, churches all over the world feel perfectly free to change the communion from what Jesus did and from what the apostles required. </w:t>
      </w:r>
      <w:r>
        <w:t xml:space="preserve">Individual loaves destroy the symbolism of communion. </w:t>
      </w:r>
      <w:r>
        <w:t xml:space="preserve">The word </w:t>
      </w:r>
      <w:r>
        <w:rPr>
          <w:i/>
          <w:iCs/>
        </w:rPr>
        <w:t xml:space="preserve">“communion” </w:t>
      </w:r>
      <w:r>
        <w:t xml:space="preserve">means </w:t>
      </w:r>
      <w:r>
        <w:rPr>
          <w:i/>
          <w:iCs/>
        </w:rPr>
        <w:t xml:space="preserve">“sharing together.” </w:t>
      </w:r>
      <w:r>
        <w:t xml:space="preserve">However, if each person in the assembly has his own little wafer, no one is sharing anything. </w:t>
      </w:r>
    </w:p>
    <w:p w:rsidR="00000000" w:rsidRDefault="000A0833"/>
    <w:p w:rsidR="00000000" w:rsidRDefault="000A0833">
      <w:r>
        <w:rPr>
          <w:b/>
          <w:bCs/>
          <w:u w:val="single"/>
        </w:rPr>
        <w:t>In summary</w:t>
      </w:r>
      <w:r>
        <w:t xml:space="preserve">: </w:t>
      </w:r>
      <w:r>
        <w:t xml:space="preserve">One loaf is required because the loaf symbolizes the Lord’s body and He had only one body. </w:t>
      </w:r>
      <w:r>
        <w:t>Furthermore, wh</w:t>
      </w:r>
      <w:r>
        <w:t xml:space="preserve">en the disciples all share one loaf together, they fulfill the meaning of the word </w:t>
      </w:r>
      <w:r>
        <w:rPr>
          <w:i/>
          <w:iCs/>
        </w:rPr>
        <w:t xml:space="preserve">“communion” </w:t>
      </w:r>
      <w:r>
        <w:t xml:space="preserve">and show the unity Jesus intended. </w:t>
      </w:r>
    </w:p>
    <w:p w:rsidR="00000000" w:rsidRDefault="000A0833"/>
    <w:p w:rsidR="00000000" w:rsidRDefault="000A0833">
      <w:r>
        <w:t xml:space="preserve">Using a plurality of loaves or individual wafers is sinful and without Bible authority. </w:t>
      </w:r>
      <w:r>
        <w:t xml:space="preserve">The NT scriptures are silent about a plurality of loaves or wafers and, because Bible silence forbids, they are therefore sinful. </w:t>
      </w:r>
    </w:p>
    <w:p w:rsidR="00000000" w:rsidRDefault="000A0833"/>
    <w:p w:rsidR="00000000" w:rsidRDefault="000A0833">
      <w:pPr>
        <w:ind w:left="720"/>
      </w:pPr>
      <w:r>
        <w:t>If someone asks for Bible authority for one loaf, I can give scri</w:t>
      </w:r>
      <w:r>
        <w:t>pture for that (1 </w:t>
      </w:r>
      <w:r>
        <w:t>Cor </w:t>
      </w:r>
      <w:bookmarkStart w:id="0" w:name="_GoBack"/>
      <w:bookmarkEnd w:id="0"/>
      <w:r>
        <w:t>10:16-17).</w:t>
      </w:r>
    </w:p>
    <w:p w:rsidR="00000000" w:rsidRDefault="000A0833">
      <w:pPr>
        <w:ind w:left="720"/>
      </w:pPr>
    </w:p>
    <w:p w:rsidR="00000000" w:rsidRDefault="000A0833">
      <w:pPr>
        <w:ind w:left="1440"/>
      </w:pPr>
      <w:r>
        <w:t xml:space="preserve">But if someone asks for Bible authority for a plurality of loaves, there is no scripture for that. </w:t>
      </w:r>
      <w:r>
        <w:rPr>
          <w:u w:val="single"/>
        </w:rPr>
        <w:t>Bible silence forbids</w:t>
      </w:r>
      <w:r>
        <w:t>.</w:t>
      </w:r>
    </w:p>
    <w:p w:rsidR="00000000" w:rsidRDefault="000A0833"/>
    <w:p w:rsidR="00000000" w:rsidRDefault="000A0833"/>
    <w:p w:rsidR="00000000" w:rsidRDefault="000A0833"/>
    <w:p w:rsidR="000A0833" w:rsidRPr="00BB5D7B" w:rsidRDefault="000A0833" w:rsidP="000A0833">
      <w:pPr>
        <w:ind w:left="1080" w:right="1080"/>
        <w:jc w:val="center"/>
        <w:outlineLvl w:val="0"/>
        <w:rPr>
          <w:rFonts w:ascii="Cambria" w:hAnsi="Cambria"/>
          <w:b/>
          <w:bCs/>
          <w:sz w:val="28"/>
          <w:szCs w:val="28"/>
          <w:u w:val="single"/>
        </w:rPr>
      </w:pPr>
      <w:r w:rsidRPr="00BB5D7B">
        <w:rPr>
          <w:rFonts w:ascii="Cambria" w:hAnsi="Cambria"/>
          <w:b/>
          <w:bCs/>
          <w:sz w:val="28"/>
          <w:szCs w:val="28"/>
          <w:u w:val="single"/>
        </w:rPr>
        <w:t>ANNOUNCEMENTS</w:t>
      </w:r>
    </w:p>
    <w:p w:rsidR="000A0833" w:rsidRPr="00BB5D7B" w:rsidRDefault="000A0833" w:rsidP="000A0833">
      <w:pPr>
        <w:rPr>
          <w:rFonts w:ascii="Calibri" w:eastAsia="Calibri" w:hAnsi="Calibri"/>
        </w:rPr>
      </w:pPr>
    </w:p>
    <w:p w:rsidR="000A0833" w:rsidRPr="00BB5D7B" w:rsidRDefault="000A0833" w:rsidP="000A0833">
      <w:pPr>
        <w:rPr>
          <w:rFonts w:ascii="Calibri" w:eastAsia="Calibri" w:hAnsi="Calibri"/>
        </w:rPr>
      </w:pPr>
    </w:p>
    <w:p w:rsidR="000A0833" w:rsidRPr="00BB5D7B" w:rsidRDefault="000A0833" w:rsidP="000A0833">
      <w:pPr>
        <w:rPr>
          <w:rFonts w:ascii="Calibri" w:eastAsia="Calibri" w:hAnsi="Calibri"/>
        </w:rPr>
      </w:pPr>
    </w:p>
    <w:p w:rsidR="000A0833" w:rsidRPr="00BB5D7B" w:rsidRDefault="000A0833" w:rsidP="000A0833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Well … thanks for listening to our message this week.  </w:t>
      </w:r>
      <w:r w:rsidRPr="00BB5D7B">
        <w:rPr>
          <w:rFonts w:ascii="Calibri" w:hAnsi="Calibri" w:cs="Calibri"/>
          <w:iCs/>
        </w:rPr>
        <w:t xml:space="preserve">We invite you to visit our website </w:t>
      </w:r>
      <w:hyperlink r:id="rId8" w:history="1">
        <w:r w:rsidRPr="00BB5D7B">
          <w:rPr>
            <w:rFonts w:ascii="Calibri" w:hAnsi="Calibri" w:cs="Calibri"/>
            <w:b/>
            <w:bCs/>
            <w:iCs/>
            <w:color w:val="0000FF"/>
            <w:u w:val="single"/>
          </w:rPr>
          <w:t>www.WillOfTheLord.com</w:t>
        </w:r>
      </w:hyperlink>
      <w:r w:rsidRPr="00121119">
        <w:t xml:space="preserve">.  </w:t>
      </w:r>
      <w:r w:rsidRPr="00BB5D7B">
        <w:rPr>
          <w:rFonts w:ascii="Calibri" w:hAnsi="Calibri" w:cs="Calibri"/>
          <w:iCs/>
        </w:rPr>
        <w:t xml:space="preserve">There you may download the notes and the audio file of the message you just listened to.  </w:t>
      </w:r>
    </w:p>
    <w:p w:rsidR="000A0833" w:rsidRPr="00BB5D7B" w:rsidRDefault="000A0833" w:rsidP="000A0833">
      <w:pPr>
        <w:rPr>
          <w:rFonts w:ascii="Calibri" w:eastAsia="Calibri" w:hAnsi="Calibri"/>
        </w:rPr>
      </w:pPr>
    </w:p>
    <w:p w:rsidR="000A0833" w:rsidRPr="00BB5D7B" w:rsidRDefault="000A0833" w:rsidP="000A0833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Call again next week when we consider a new subject on </w:t>
      </w:r>
      <w:r w:rsidRPr="00BB5D7B">
        <w:rPr>
          <w:rFonts w:ascii="Calibri" w:eastAsia="Calibri" w:hAnsi="Calibri"/>
          <w:b/>
          <w:bCs/>
          <w:i/>
          <w:iCs/>
        </w:rPr>
        <w:t>Bible Talk</w:t>
      </w:r>
      <w:r w:rsidRPr="00BB5D7B">
        <w:rPr>
          <w:rFonts w:ascii="Calibri" w:eastAsia="Calibri" w:hAnsi="Calibri"/>
        </w:rPr>
        <w:t>.</w:t>
      </w:r>
    </w:p>
    <w:p w:rsidR="000A0833" w:rsidRPr="00BB5D7B" w:rsidRDefault="000A0833" w:rsidP="000A0833">
      <w:pPr>
        <w:rPr>
          <w:rFonts w:ascii="Calibri" w:hAnsi="Calibri" w:cs="Calibri"/>
          <w:iCs/>
        </w:rPr>
      </w:pPr>
    </w:p>
    <w:p w:rsidR="00000000" w:rsidRDefault="000A0833"/>
    <w:sectPr w:rsidR="00000000">
      <w:footerReference w:type="default" r:id="rId9"/>
      <w:headerReference w:type="first" r:id="rId10"/>
      <w:pgSz w:w="12240" w:h="15840" w:code="1"/>
      <w:pgMar w:top="144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0833">
      <w:r>
        <w:separator/>
      </w:r>
    </w:p>
  </w:endnote>
  <w:endnote w:type="continuationSeparator" w:id="0">
    <w:p w:rsidR="00000000" w:rsidRDefault="000A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0833"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0833">
      <w:r>
        <w:separator/>
      </w:r>
    </w:p>
  </w:footnote>
  <w:footnote w:type="continuationSeparator" w:id="0">
    <w:p w:rsidR="00000000" w:rsidRDefault="000A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08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F7737F"/>
    <w:multiLevelType w:val="hybridMultilevel"/>
    <w:tmpl w:val="6B6EF166"/>
    <w:lvl w:ilvl="0" w:tplc="96C68FB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C6E41"/>
    <w:multiLevelType w:val="hybridMultilevel"/>
    <w:tmpl w:val="98A440E6"/>
    <w:lvl w:ilvl="0" w:tplc="39CC9B9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6C10F36"/>
    <w:multiLevelType w:val="hybridMultilevel"/>
    <w:tmpl w:val="6B6EF166"/>
    <w:lvl w:ilvl="0" w:tplc="FFC4868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926C9C"/>
    <w:multiLevelType w:val="hybridMultilevel"/>
    <w:tmpl w:val="AB7E75E0"/>
    <w:lvl w:ilvl="0" w:tplc="ADE4AF5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81E505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2EB21FE"/>
    <w:multiLevelType w:val="hybridMultilevel"/>
    <w:tmpl w:val="AB7E75E0"/>
    <w:lvl w:ilvl="0" w:tplc="4AE8248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1A03F3"/>
    <w:multiLevelType w:val="hybridMultilevel"/>
    <w:tmpl w:val="3F203116"/>
    <w:lvl w:ilvl="0" w:tplc="6ECAA55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3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78453F"/>
    <w:multiLevelType w:val="hybridMultilevel"/>
    <w:tmpl w:val="98A440E6"/>
    <w:lvl w:ilvl="0" w:tplc="BE42684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6"/>
  </w:num>
  <w:num w:numId="2">
    <w:abstractNumId w:val="3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</w:num>
  <w:num w:numId="5">
    <w:abstractNumId w:val="32"/>
    <w:lvlOverride w:ilvl="0">
      <w:startOverride w:val="1"/>
    </w:lvlOverride>
  </w:num>
  <w:num w:numId="6">
    <w:abstractNumId w:val="11"/>
  </w:num>
  <w:num w:numId="7">
    <w:abstractNumId w:val="4"/>
  </w:num>
  <w:num w:numId="8">
    <w:abstractNumId w:val="23"/>
  </w:num>
  <w:num w:numId="9">
    <w:abstractNumId w:val="16"/>
  </w:num>
  <w:num w:numId="10">
    <w:abstractNumId w:val="25"/>
  </w:num>
  <w:num w:numId="11">
    <w:abstractNumId w:val="9"/>
  </w:num>
  <w:num w:numId="12">
    <w:abstractNumId w:val="18"/>
  </w:num>
  <w:num w:numId="13">
    <w:abstractNumId w:val="26"/>
  </w:num>
  <w:num w:numId="14">
    <w:abstractNumId w:val="8"/>
  </w:num>
  <w:num w:numId="15">
    <w:abstractNumId w:val="14"/>
  </w:num>
  <w:num w:numId="16">
    <w:abstractNumId w:val="15"/>
  </w:num>
  <w:num w:numId="17">
    <w:abstractNumId w:val="29"/>
  </w:num>
  <w:num w:numId="18">
    <w:abstractNumId w:val="27"/>
  </w:num>
  <w:num w:numId="19">
    <w:abstractNumId w:val="7"/>
  </w:num>
  <w:num w:numId="20">
    <w:abstractNumId w:val="21"/>
  </w:num>
  <w:num w:numId="21">
    <w:abstractNumId w:val="12"/>
  </w:num>
  <w:num w:numId="22">
    <w:abstractNumId w:val="24"/>
  </w:num>
  <w:num w:numId="23">
    <w:abstractNumId w:val="19"/>
  </w:num>
  <w:num w:numId="24">
    <w:abstractNumId w:val="17"/>
  </w:num>
  <w:num w:numId="25">
    <w:abstractNumId w:val="10"/>
  </w:num>
  <w:num w:numId="26">
    <w:abstractNumId w:val="28"/>
  </w:num>
  <w:num w:numId="27">
    <w:abstractNumId w:val="3"/>
  </w:num>
  <w:num w:numId="28">
    <w:abstractNumId w:val="5"/>
  </w:num>
  <w:num w:numId="29">
    <w:abstractNumId w:val="2"/>
  </w:num>
  <w:num w:numId="30">
    <w:abstractNumId w:val="13"/>
  </w:num>
  <w:num w:numId="31">
    <w:abstractNumId w:val="30"/>
  </w:num>
  <w:num w:numId="32">
    <w:abstractNumId w:val="20"/>
  </w:num>
  <w:num w:numId="33">
    <w:abstractNumId w:val="0"/>
  </w:num>
  <w:num w:numId="34">
    <w:abstractNumId w:val="0"/>
  </w:num>
  <w:num w:numId="35">
    <w:abstractNumId w:val="1"/>
  </w:num>
  <w:num w:numId="36">
    <w:abstractNumId w:val="1"/>
  </w:num>
  <w:num w:numId="37">
    <w:abstractNumId w:val="30"/>
  </w:num>
  <w:num w:numId="38">
    <w:abstractNumId w:val="20"/>
  </w:num>
  <w:num w:numId="39">
    <w:abstractNumId w:val="0"/>
  </w:num>
  <w:num w:numId="40">
    <w:abstractNumId w:val="1"/>
  </w:num>
  <w:num w:numId="41">
    <w:abstractNumId w:val="2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33"/>
    <w:rsid w:val="000A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A0833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0833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0833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A0833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A0833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A0833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A0833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A0833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A0833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833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0A08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A0833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0A083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0A0833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0A0833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0A0833"/>
    <w:pPr>
      <w:numPr>
        <w:numId w:val="37"/>
      </w:numPr>
    </w:pPr>
  </w:style>
  <w:style w:type="paragraph" w:customStyle="1" w:styleId="abc-singlespace">
    <w:name w:val="abc-single space"/>
    <w:basedOn w:val="Normal"/>
    <w:link w:val="abc-singlespaceChar"/>
    <w:rsid w:val="000A0833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0A0833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0A083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833"/>
    <w:rPr>
      <w:b/>
      <w:bCs/>
      <w:sz w:val="18"/>
      <w:szCs w:val="18"/>
    </w:rPr>
  </w:style>
  <w:style w:type="character" w:styleId="Emphasis">
    <w:name w:val="Emphasis"/>
    <w:uiPriority w:val="20"/>
    <w:qFormat/>
    <w:rsid w:val="000A0833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0A0833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0A0833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0833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0833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0A0833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A0833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A0833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0833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A0833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833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833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0A0833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A0833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0A0833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0A0833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0A0833"/>
    <w:pPr>
      <w:numPr>
        <w:numId w:val="4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0A0833"/>
    <w:pPr>
      <w:numPr>
        <w:numId w:val="42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0A0833"/>
    <w:pPr>
      <w:numPr>
        <w:numId w:val="40"/>
      </w:numPr>
      <w:contextualSpacing/>
    </w:pPr>
  </w:style>
  <w:style w:type="paragraph" w:styleId="ListParagraph">
    <w:name w:val="List Paragraph"/>
    <w:basedOn w:val="Normal"/>
    <w:uiPriority w:val="34"/>
    <w:qFormat/>
    <w:rsid w:val="000A0833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0A0833"/>
  </w:style>
  <w:style w:type="character" w:customStyle="1" w:styleId="NoSpacingChar">
    <w:name w:val="No Spacing Char"/>
    <w:basedOn w:val="DefaultParagraphFont"/>
    <w:link w:val="NoSpacing"/>
    <w:uiPriority w:val="99"/>
    <w:rsid w:val="000A0833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A0833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0A0833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0A0833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833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0A0833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0A0833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0A0833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0A0833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0A0833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833"/>
    <w:pPr>
      <w:outlineLvl w:val="9"/>
    </w:pPr>
    <w:rPr>
      <w:lang w:bidi="en-US"/>
    </w:rPr>
  </w:style>
  <w:style w:type="paragraph" w:customStyle="1" w:styleId="BookQuote">
    <w:name w:val="BookQuote"/>
    <w:basedOn w:val="Quote"/>
    <w:link w:val="BookQuoteChar"/>
    <w:uiPriority w:val="99"/>
    <w:qFormat/>
    <w:rsid w:val="000A0833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0A0833"/>
    <w:rPr>
      <w:rFonts w:asciiTheme="minorHAnsi" w:hAnsiTheme="minorHAnsi"/>
      <w:iCs/>
      <w:shd w:val="clear" w:color="auto" w:fill="EAF1DD" w:themeFill="accent3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A0833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0833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0833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A0833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A0833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A0833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A0833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A0833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A0833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833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0A08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A0833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0A083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0A0833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0A0833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0A0833"/>
    <w:pPr>
      <w:numPr>
        <w:numId w:val="37"/>
      </w:numPr>
    </w:pPr>
  </w:style>
  <w:style w:type="paragraph" w:customStyle="1" w:styleId="abc-singlespace">
    <w:name w:val="abc-single space"/>
    <w:basedOn w:val="Normal"/>
    <w:link w:val="abc-singlespaceChar"/>
    <w:rsid w:val="000A0833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0A0833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0A083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833"/>
    <w:rPr>
      <w:b/>
      <w:bCs/>
      <w:sz w:val="18"/>
      <w:szCs w:val="18"/>
    </w:rPr>
  </w:style>
  <w:style w:type="character" w:styleId="Emphasis">
    <w:name w:val="Emphasis"/>
    <w:uiPriority w:val="20"/>
    <w:qFormat/>
    <w:rsid w:val="000A0833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0A0833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0A0833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0833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0833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0A0833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A0833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A0833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0833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A0833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833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833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0A0833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A0833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0A0833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0A0833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0A0833"/>
    <w:pPr>
      <w:numPr>
        <w:numId w:val="4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0A0833"/>
    <w:pPr>
      <w:numPr>
        <w:numId w:val="42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0A0833"/>
    <w:pPr>
      <w:numPr>
        <w:numId w:val="40"/>
      </w:numPr>
      <w:contextualSpacing/>
    </w:pPr>
  </w:style>
  <w:style w:type="paragraph" w:styleId="ListParagraph">
    <w:name w:val="List Paragraph"/>
    <w:basedOn w:val="Normal"/>
    <w:uiPriority w:val="34"/>
    <w:qFormat/>
    <w:rsid w:val="000A0833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0A0833"/>
  </w:style>
  <w:style w:type="character" w:customStyle="1" w:styleId="NoSpacingChar">
    <w:name w:val="No Spacing Char"/>
    <w:basedOn w:val="DefaultParagraphFont"/>
    <w:link w:val="NoSpacing"/>
    <w:uiPriority w:val="99"/>
    <w:rsid w:val="000A0833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A0833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0A0833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0A0833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833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0A0833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0A0833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0A0833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0A0833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0A0833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833"/>
    <w:pPr>
      <w:outlineLvl w:val="9"/>
    </w:pPr>
    <w:rPr>
      <w:lang w:bidi="en-US"/>
    </w:rPr>
  </w:style>
  <w:style w:type="paragraph" w:customStyle="1" w:styleId="BookQuote">
    <w:name w:val="BookQuote"/>
    <w:basedOn w:val="Quote"/>
    <w:link w:val="BookQuoteChar"/>
    <w:uiPriority w:val="99"/>
    <w:qFormat/>
    <w:rsid w:val="000A0833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0A0833"/>
    <w:rPr>
      <w:rFonts w:asciiTheme="minorHAnsi" w:hAnsiTheme="minorHAnsi"/>
      <w:iCs/>
      <w:shd w:val="clear" w:color="auto" w:fill="EAF1DD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4198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2</cp:revision>
  <dcterms:created xsi:type="dcterms:W3CDTF">2014-09-08T17:59:00Z</dcterms:created>
  <dcterms:modified xsi:type="dcterms:W3CDTF">2014-09-08T17:59:00Z</dcterms:modified>
</cp:coreProperties>
</file>