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04" w:rsidRDefault="0049365D" w:rsidP="004F3A6F">
      <w:pPr>
        <w:pStyle w:val="Title"/>
      </w:pPr>
      <w:r>
        <w:t>BIBLE TALK</w:t>
      </w:r>
    </w:p>
    <w:p w:rsidR="00CF2704" w:rsidRDefault="00CF2704"/>
    <w:p w:rsidR="00CF2704" w:rsidRDefault="00CF2704"/>
    <w:p w:rsidR="00CF2704" w:rsidRDefault="00CF2704"/>
    <w:p w:rsidR="00CF2704" w:rsidRDefault="0049365D">
      <w:r>
        <w:rPr>
          <w:u w:val="single"/>
        </w:rPr>
        <w:t>This week the question is</w:t>
      </w:r>
      <w:r>
        <w:t>:</w:t>
      </w:r>
      <w:r w:rsidR="003A25C2">
        <w:t xml:space="preserve"> </w:t>
      </w:r>
      <w:r>
        <w:rPr>
          <w:b/>
          <w:bCs/>
          <w:i/>
          <w:iCs/>
          <w:highlight w:val="yellow"/>
        </w:rPr>
        <w:t>May people worship at home instead of assembling with the church?</w:t>
      </w:r>
    </w:p>
    <w:p w:rsidR="00CF2704" w:rsidRDefault="00CF2704"/>
    <w:p w:rsidR="00CF2704" w:rsidRDefault="0049365D">
      <w:r>
        <w:t>There are three common ideas which people have to which I call your attention:</w:t>
      </w:r>
    </w:p>
    <w:p w:rsidR="00CF2704" w:rsidRDefault="00CF2704"/>
    <w:p w:rsidR="00CF2704" w:rsidRDefault="0049365D">
      <w:r>
        <w:rPr>
          <w:b/>
          <w:bCs/>
          <w:u w:val="single"/>
        </w:rPr>
        <w:t>Common idea #1</w:t>
      </w:r>
      <w:r>
        <w:t>:</w:t>
      </w:r>
      <w:r w:rsidR="003A25C2">
        <w:t xml:space="preserve"> </w:t>
      </w:r>
      <w:r>
        <w:t xml:space="preserve">The idea that </w:t>
      </w:r>
      <w:r>
        <w:rPr>
          <w:b/>
          <w:bCs/>
          <w:i/>
          <w:iCs/>
        </w:rPr>
        <w:t>all churches are the same</w:t>
      </w:r>
      <w:r>
        <w:t>.</w:t>
      </w:r>
      <w:r w:rsidR="003A25C2">
        <w:t xml:space="preserve"> </w:t>
      </w:r>
      <w:r>
        <w:t>Even though each particular church has some small difference from the others in town, yet they all basically teach and practice the same thing.</w:t>
      </w:r>
      <w:r w:rsidR="003A25C2">
        <w:t xml:space="preserve"> </w:t>
      </w:r>
      <w:r>
        <w:t xml:space="preserve">The differences are considered so trivial that no one should </w:t>
      </w:r>
      <w:r w:rsidR="00163AC9">
        <w:t>be</w:t>
      </w:r>
      <w:bookmarkStart w:id="0" w:name="_GoBack"/>
      <w:bookmarkEnd w:id="0"/>
      <w:r>
        <w:t xml:space="preserve"> discussing those differences.</w:t>
      </w:r>
    </w:p>
    <w:p w:rsidR="00CF2704" w:rsidRDefault="00CF2704"/>
    <w:p w:rsidR="00CF2704" w:rsidRDefault="0049365D">
      <w:r>
        <w:rPr>
          <w:b/>
          <w:bCs/>
          <w:u w:val="single"/>
        </w:rPr>
        <w:t>Common idea #2</w:t>
      </w:r>
      <w:r>
        <w:t>:</w:t>
      </w:r>
      <w:r w:rsidR="003A25C2">
        <w:t xml:space="preserve"> </w:t>
      </w:r>
      <w:r>
        <w:t xml:space="preserve">The idea that </w:t>
      </w:r>
      <w:r>
        <w:rPr>
          <w:b/>
          <w:bCs/>
          <w:i/>
          <w:iCs/>
        </w:rPr>
        <w:t>no church is really essential for salvation</w:t>
      </w:r>
      <w:r>
        <w:t>.</w:t>
      </w:r>
      <w:r w:rsidR="003A25C2">
        <w:t xml:space="preserve"> </w:t>
      </w:r>
      <w:r>
        <w:t>While people generally agree each church has its good points, no church is considered essential for salvation.</w:t>
      </w:r>
    </w:p>
    <w:p w:rsidR="00CF2704" w:rsidRDefault="00CF2704"/>
    <w:p w:rsidR="00CF2704" w:rsidRDefault="0049365D">
      <w:r>
        <w:rPr>
          <w:b/>
          <w:bCs/>
          <w:u w:val="single"/>
        </w:rPr>
        <w:t>Common idea #3</w:t>
      </w:r>
      <w:r>
        <w:t>:</w:t>
      </w:r>
      <w:r w:rsidR="003A25C2">
        <w:t xml:space="preserve"> </w:t>
      </w:r>
      <w:r>
        <w:t xml:space="preserve">The idea that </w:t>
      </w:r>
      <w:r>
        <w:rPr>
          <w:b/>
          <w:bCs/>
          <w:i/>
          <w:iCs/>
        </w:rPr>
        <w:t>worship at home with one’s own family is just as good as assembling with a congregation</w:t>
      </w:r>
      <w:r>
        <w:t>.</w:t>
      </w:r>
      <w:r w:rsidR="003A25C2">
        <w:t xml:space="preserve"> </w:t>
      </w:r>
      <w:r>
        <w:t xml:space="preserve">Because this is a common belief, many people </w:t>
      </w:r>
      <w:r>
        <w:rPr>
          <w:i/>
          <w:iCs/>
        </w:rPr>
        <w:t>“home church.”</w:t>
      </w:r>
      <w:r w:rsidR="003A25C2">
        <w:t xml:space="preserve"> </w:t>
      </w:r>
      <w:r>
        <w:t>Just like they homeschool their children, some families have their own church in their own home and see no need to assemble with a congregation for worship.</w:t>
      </w:r>
    </w:p>
    <w:p w:rsidR="00CF2704" w:rsidRDefault="00CF2704"/>
    <w:p w:rsidR="00CF2704" w:rsidRDefault="00CF2704"/>
    <w:p w:rsidR="00CF2704" w:rsidRDefault="0049365D">
      <w:r>
        <w:t>Let me briefly explain why all three of these common ideas are wrong.</w:t>
      </w:r>
    </w:p>
    <w:p w:rsidR="00CF2704" w:rsidRDefault="00CF2704"/>
    <w:p w:rsidR="00CF2704" w:rsidRDefault="00CF2704"/>
    <w:p w:rsidR="00CF2704" w:rsidRDefault="00C63CD3" w:rsidP="00CF0C54">
      <w:pPr>
        <w:pStyle w:val="Heading2"/>
      </w:pPr>
      <w:r w:rsidRPr="00C63CD3">
        <w:rPr>
          <w:u w:val="none"/>
        </w:rPr>
        <w:t>1)</w:t>
      </w:r>
      <w:r w:rsidRPr="00C63CD3">
        <w:rPr>
          <w:u w:val="none"/>
        </w:rPr>
        <w:tab/>
      </w:r>
      <w:r w:rsidR="0049365D">
        <w:t>Not all churches are the same.</w:t>
      </w:r>
    </w:p>
    <w:p w:rsidR="00CF2704" w:rsidRDefault="00CF2704"/>
    <w:p w:rsidR="003A25C2" w:rsidRDefault="0049365D">
      <w:r>
        <w:t>The teachings of the apostles of Christ are the standard of religious authority (Acts 2:42).</w:t>
      </w:r>
      <w:r w:rsidR="003A25C2">
        <w:t xml:space="preserve"> </w:t>
      </w:r>
      <w:r>
        <w:t>They wrote their teachings down on paper (Eph 3:3-5).</w:t>
      </w:r>
      <w:r w:rsidR="003A25C2">
        <w:t xml:space="preserve"> </w:t>
      </w:r>
      <w:r>
        <w:t>Those writings were preserved by the providence of God (Mt 24:35).</w:t>
      </w:r>
      <w:r w:rsidR="003A25C2">
        <w:t xml:space="preserve"> </w:t>
      </w:r>
      <w:r>
        <w:t>Anyone teaching any doctrine differently than the apostles will be cut off from God on the Judgment Day (Gal 1:8-9).</w:t>
      </w:r>
    </w:p>
    <w:p w:rsidR="00CF2704" w:rsidRDefault="00CF2704"/>
    <w:p w:rsidR="00CF2704" w:rsidRDefault="0049365D">
      <w:r>
        <w:t>Therefore, not all churches are the same.</w:t>
      </w:r>
      <w:r w:rsidR="003A25C2">
        <w:t xml:space="preserve"> </w:t>
      </w:r>
      <w:r>
        <w:t>There is the church which the Lord promised to build (Mt 16:18) and there are churches which men themselves have devised.</w:t>
      </w:r>
      <w:r w:rsidR="003A25C2">
        <w:t xml:space="preserve"> </w:t>
      </w:r>
      <w:r>
        <w:t>The churches devised by men are not the same as the church built by the Lord.</w:t>
      </w:r>
    </w:p>
    <w:p w:rsidR="00CF2704" w:rsidRDefault="00CF2704"/>
    <w:p w:rsidR="00CF2704" w:rsidRDefault="00CF2704"/>
    <w:p w:rsidR="00CF2704" w:rsidRDefault="00C63CD3" w:rsidP="00CF0C54">
      <w:pPr>
        <w:pStyle w:val="Heading2"/>
      </w:pPr>
      <w:r>
        <w:rPr>
          <w:u w:val="none"/>
        </w:rPr>
        <w:t>2</w:t>
      </w:r>
      <w:r w:rsidRPr="00C63CD3">
        <w:rPr>
          <w:u w:val="none"/>
        </w:rPr>
        <w:t>)</w:t>
      </w:r>
      <w:r w:rsidRPr="00C63CD3">
        <w:rPr>
          <w:u w:val="none"/>
        </w:rPr>
        <w:tab/>
      </w:r>
      <w:r w:rsidR="0049365D">
        <w:t>The Lord’s chu</w:t>
      </w:r>
      <w:r w:rsidR="0049365D" w:rsidRPr="003A25C2">
        <w:rPr>
          <w:rStyle w:val="Heading2Char"/>
        </w:rPr>
        <w:t>r</w:t>
      </w:r>
      <w:r w:rsidR="0049365D">
        <w:t>ch is essential for salvation.</w:t>
      </w:r>
    </w:p>
    <w:p w:rsidR="00CF2704" w:rsidRDefault="00CF2704"/>
    <w:p w:rsidR="003A25C2" w:rsidRDefault="0049365D">
      <w:r>
        <w:lastRenderedPageBreak/>
        <w:t>According to Eph 2:16 the church is the body by which God saves men from their sins.</w:t>
      </w:r>
      <w:r w:rsidR="003A25C2">
        <w:t xml:space="preserve"> </w:t>
      </w:r>
      <w:r>
        <w:t>According to Eph 5:23-25 the church is like the Lord’s bride.</w:t>
      </w:r>
      <w:r w:rsidR="003A25C2">
        <w:t xml:space="preserve"> </w:t>
      </w:r>
      <w:r>
        <w:t>He loves the church so much He gave Himself for her – that means He died for the church.</w:t>
      </w:r>
      <w:r w:rsidR="003A25C2">
        <w:t xml:space="preserve"> </w:t>
      </w:r>
      <w:r>
        <w:t>Since He died for the church, it is certain no one can be saved without the church.</w:t>
      </w:r>
    </w:p>
    <w:p w:rsidR="00CF2704" w:rsidRDefault="00CF2704"/>
    <w:p w:rsidR="00CF2704" w:rsidRDefault="00CF2704"/>
    <w:p w:rsidR="00CF2704" w:rsidRDefault="00C63CD3" w:rsidP="00CF0C54">
      <w:pPr>
        <w:pStyle w:val="Heading2"/>
      </w:pPr>
      <w:r>
        <w:rPr>
          <w:u w:val="none"/>
        </w:rPr>
        <w:t>3</w:t>
      </w:r>
      <w:r w:rsidRPr="00C63CD3">
        <w:rPr>
          <w:u w:val="none"/>
        </w:rPr>
        <w:t>)</w:t>
      </w:r>
      <w:r w:rsidRPr="00C63CD3">
        <w:rPr>
          <w:u w:val="none"/>
        </w:rPr>
        <w:tab/>
      </w:r>
      <w:r w:rsidR="0049365D">
        <w:t>Worship at home cannot become a substitute for assembling with the Lord’s church.</w:t>
      </w:r>
    </w:p>
    <w:p w:rsidR="00CF2704" w:rsidRDefault="00CF2704"/>
    <w:p w:rsidR="00CF2704" w:rsidRDefault="0049365D">
      <w:r>
        <w:t>Yes, it is true that families may worship at home and they should worship at home.</w:t>
      </w:r>
      <w:r w:rsidR="003A25C2">
        <w:t xml:space="preserve"> </w:t>
      </w:r>
      <w:r>
        <w:t>Families should sing praises to God, pray to God and read God’s word together at home.</w:t>
      </w:r>
      <w:r w:rsidR="003A25C2">
        <w:t xml:space="preserve"> </w:t>
      </w:r>
      <w:r>
        <w:t>But this cannot become a substitute for assembling together with the Lord’s church.</w:t>
      </w:r>
    </w:p>
    <w:p w:rsidR="00CF2704" w:rsidRDefault="00CF2704"/>
    <w:p w:rsidR="00CF2704" w:rsidRDefault="00CF2704"/>
    <w:p w:rsidR="00CF2704" w:rsidRDefault="0049365D" w:rsidP="00B82065">
      <w:pPr>
        <w:pStyle w:val="IntenseQuote"/>
      </w:pPr>
      <w:r>
        <w:t>Hebrews 10:25</w:t>
      </w:r>
    </w:p>
    <w:p w:rsidR="003A25C2" w:rsidRDefault="0049365D" w:rsidP="00B82065">
      <w:pPr>
        <w:pStyle w:val="Quote"/>
      </w:pPr>
      <w:r w:rsidRPr="00B82065">
        <w:rPr>
          <w:vertAlign w:val="superscript"/>
        </w:rPr>
        <w:t>25</w:t>
      </w:r>
      <w:r w:rsidR="003A25C2">
        <w:t xml:space="preserve"> </w:t>
      </w:r>
      <w:r>
        <w:t xml:space="preserve">not forsaking </w:t>
      </w:r>
      <w:r>
        <w:rPr>
          <w:b/>
          <w:bCs/>
        </w:rPr>
        <w:t>the assembling of ourselves together</w:t>
      </w:r>
      <w:r>
        <w:t>, as is the manner of some, but exhorting one another, and so much the more as you see the Day approaching.</w:t>
      </w:r>
    </w:p>
    <w:p w:rsidR="00CF2704" w:rsidRDefault="00CF2704"/>
    <w:p w:rsidR="00CF2704" w:rsidRDefault="00CF2704"/>
    <w:p w:rsidR="003A25C2" w:rsidRDefault="0049365D">
      <w:r>
        <w:t xml:space="preserve">Here Christians are to </w:t>
      </w:r>
      <w:r>
        <w:rPr>
          <w:i/>
          <w:iCs/>
        </w:rPr>
        <w:t>“assemble themselves together”</w:t>
      </w:r>
      <w:r>
        <w:t xml:space="preserve"> and it is sinful to purposefully forsake such assemblies.</w:t>
      </w:r>
    </w:p>
    <w:p w:rsidR="00CF2704" w:rsidRDefault="00CF2704"/>
    <w:p w:rsidR="00CF2704" w:rsidRDefault="0049365D">
      <w:r>
        <w:t>The assembly under consideration is the assembly held on the first day of each week when the disciples gather to break the bread (Acts 20:7).</w:t>
      </w:r>
      <w:r w:rsidR="003A25C2">
        <w:t xml:space="preserve"> </w:t>
      </w:r>
      <w:r>
        <w:t>The apostle Paul wrote this:</w:t>
      </w:r>
    </w:p>
    <w:p w:rsidR="00CF2704" w:rsidRDefault="00CF2704"/>
    <w:p w:rsidR="00CF2704" w:rsidRDefault="00CF2704"/>
    <w:p w:rsidR="00CF2704" w:rsidRDefault="0049365D" w:rsidP="00B82065">
      <w:pPr>
        <w:pStyle w:val="IntenseQuote"/>
      </w:pPr>
      <w:r>
        <w:t>1 Corinthians 11:33</w:t>
      </w:r>
    </w:p>
    <w:p w:rsidR="003A25C2" w:rsidRDefault="0049365D" w:rsidP="00B82065">
      <w:pPr>
        <w:pStyle w:val="Quote"/>
      </w:pPr>
      <w:r w:rsidRPr="00B82065">
        <w:rPr>
          <w:vertAlign w:val="superscript"/>
        </w:rPr>
        <w:t>33</w:t>
      </w:r>
      <w:r w:rsidR="003A25C2">
        <w:t xml:space="preserve"> </w:t>
      </w:r>
      <w:r>
        <w:t xml:space="preserve">Therefore, my brethren, when you </w:t>
      </w:r>
      <w:r>
        <w:rPr>
          <w:b/>
          <w:bCs/>
        </w:rPr>
        <w:t>come together</w:t>
      </w:r>
      <w:r>
        <w:t xml:space="preserve"> to eat, wait for one another.</w:t>
      </w:r>
    </w:p>
    <w:p w:rsidR="00CF2704" w:rsidRDefault="00CF2704"/>
    <w:p w:rsidR="00CF2704" w:rsidRDefault="00CF2704"/>
    <w:p w:rsidR="00CF2704" w:rsidRDefault="0049365D">
      <w:r>
        <w:t>May people worship in their homes?</w:t>
      </w:r>
      <w:r w:rsidR="003A25C2">
        <w:t xml:space="preserve"> </w:t>
      </w:r>
      <w:r>
        <w:t>Yes.</w:t>
      </w:r>
    </w:p>
    <w:p w:rsidR="00CF2704" w:rsidRDefault="00CF2704"/>
    <w:p w:rsidR="00CF2704" w:rsidRDefault="0049365D">
      <w:r>
        <w:t>May worship in the home become a substitute for corporate worship with the church?</w:t>
      </w:r>
      <w:r w:rsidR="003A25C2">
        <w:t xml:space="preserve"> </w:t>
      </w:r>
      <w:r>
        <w:t>No.</w:t>
      </w:r>
    </w:p>
    <w:p w:rsidR="00CF2704" w:rsidRDefault="00CF2704"/>
    <w:p w:rsidR="00CF2704" w:rsidRDefault="0049365D">
      <w:r>
        <w:rPr>
          <w:u w:val="single"/>
        </w:rPr>
        <w:t>For emphasis, let me point out</w:t>
      </w:r>
      <w:r>
        <w:t>:</w:t>
      </w:r>
      <w:r w:rsidR="003A25C2">
        <w:t xml:space="preserve"> </w:t>
      </w:r>
      <w:r>
        <w:t>The issue is not whether a house is being used by the church for its assembly.</w:t>
      </w:r>
      <w:r w:rsidR="003A25C2">
        <w:t xml:space="preserve"> </w:t>
      </w:r>
      <w:r>
        <w:t>The church in the days of the apostles often met together in people’s homes (Rom 16:5).</w:t>
      </w:r>
      <w:r w:rsidR="003A25C2">
        <w:t xml:space="preserve"> </w:t>
      </w:r>
      <w:r>
        <w:t>On one occasion the church met together in a school building (Acts 19:9).</w:t>
      </w:r>
      <w:r w:rsidR="003A25C2">
        <w:t xml:space="preserve"> </w:t>
      </w:r>
      <w:r>
        <w:t xml:space="preserve">The issue being discussed is whether people may worship at home </w:t>
      </w:r>
      <w:r>
        <w:rPr>
          <w:b/>
          <w:bCs/>
          <w:i/>
          <w:iCs/>
        </w:rPr>
        <w:t>instead of</w:t>
      </w:r>
      <w:r>
        <w:t xml:space="preserve"> or </w:t>
      </w:r>
      <w:r>
        <w:rPr>
          <w:b/>
          <w:bCs/>
          <w:i/>
          <w:iCs/>
        </w:rPr>
        <w:t>in place of</w:t>
      </w:r>
      <w:r>
        <w:t xml:space="preserve"> assembling with the church.</w:t>
      </w:r>
      <w:r w:rsidR="003A25C2">
        <w:t xml:space="preserve"> </w:t>
      </w:r>
      <w:r>
        <w:t>The answer is:</w:t>
      </w:r>
      <w:r w:rsidR="003A25C2">
        <w:t xml:space="preserve"> </w:t>
      </w:r>
      <w:r>
        <w:rPr>
          <w:b/>
          <w:bCs/>
          <w:i/>
          <w:iCs/>
        </w:rPr>
        <w:t>NO</w:t>
      </w:r>
      <w:r>
        <w:t>.</w:t>
      </w:r>
      <w:r w:rsidR="003A25C2">
        <w:t xml:space="preserve"> </w:t>
      </w:r>
      <w:r>
        <w:t>People may not do this as we noticed in the scriptures cited.</w:t>
      </w:r>
    </w:p>
    <w:p w:rsidR="00CF2704" w:rsidRDefault="00CF2704"/>
    <w:p w:rsidR="00CF2704" w:rsidRDefault="00CF2704"/>
    <w:p w:rsidR="00CF2704" w:rsidRDefault="00CF2704"/>
    <w:p w:rsidR="003A25C2" w:rsidRPr="00BB5D7B" w:rsidRDefault="003A25C2" w:rsidP="003A25C2">
      <w:pPr>
        <w:ind w:left="1080" w:right="1080"/>
        <w:jc w:val="center"/>
        <w:outlineLvl w:val="0"/>
        <w:rPr>
          <w:rFonts w:ascii="Cambria" w:hAnsi="Cambria"/>
          <w:b/>
          <w:bCs/>
          <w:sz w:val="28"/>
          <w:szCs w:val="28"/>
          <w:u w:val="single"/>
        </w:rPr>
      </w:pPr>
      <w:r w:rsidRPr="00BB5D7B">
        <w:rPr>
          <w:rFonts w:ascii="Cambria" w:hAnsi="Cambria"/>
          <w:b/>
          <w:bCs/>
          <w:sz w:val="28"/>
          <w:szCs w:val="28"/>
          <w:u w:val="single"/>
        </w:rPr>
        <w:lastRenderedPageBreak/>
        <w:t>ANNOUNCEMENTS</w:t>
      </w:r>
    </w:p>
    <w:p w:rsidR="003A25C2" w:rsidRPr="00BB5D7B" w:rsidRDefault="003A25C2" w:rsidP="003A25C2">
      <w:pPr>
        <w:rPr>
          <w:rFonts w:ascii="Calibri" w:eastAsia="Calibri" w:hAnsi="Calibri"/>
        </w:rPr>
      </w:pPr>
    </w:p>
    <w:p w:rsidR="003A25C2" w:rsidRPr="00BB5D7B" w:rsidRDefault="003A25C2" w:rsidP="003A25C2">
      <w:pPr>
        <w:rPr>
          <w:rFonts w:ascii="Calibri" w:eastAsia="Calibri" w:hAnsi="Calibri"/>
        </w:rPr>
      </w:pPr>
    </w:p>
    <w:p w:rsidR="003A25C2" w:rsidRPr="00BB5D7B" w:rsidRDefault="003A25C2" w:rsidP="003A25C2">
      <w:pPr>
        <w:rPr>
          <w:rFonts w:ascii="Calibri" w:eastAsia="Calibri" w:hAnsi="Calibri"/>
        </w:rPr>
      </w:pPr>
    </w:p>
    <w:p w:rsidR="003A25C2" w:rsidRDefault="003A25C2" w:rsidP="003A25C2">
      <w:pPr>
        <w:rPr>
          <w:rFonts w:ascii="Calibri" w:hAnsi="Calibri" w:cs="Calibri"/>
          <w:iCs/>
        </w:rPr>
      </w:pPr>
      <w:r w:rsidRPr="00BB5D7B">
        <w:rPr>
          <w:rFonts w:ascii="Calibri" w:eastAsia="Calibri" w:hAnsi="Calibri"/>
        </w:rPr>
        <w:t>Well … thanks for listening to our message this week.</w:t>
      </w:r>
      <w:r>
        <w:rPr>
          <w:rFonts w:ascii="Calibri" w:eastAsia="Calibri" w:hAnsi="Calibri"/>
        </w:rPr>
        <w:t xml:space="preserve"> </w:t>
      </w:r>
      <w:r w:rsidRPr="00BB5D7B">
        <w:rPr>
          <w:rFonts w:ascii="Calibri" w:hAnsi="Calibri" w:cs="Calibri"/>
          <w:iCs/>
        </w:rPr>
        <w:t xml:space="preserve">We invite you to visit our website </w:t>
      </w:r>
      <w:hyperlink r:id="rId8" w:history="1">
        <w:r w:rsidRPr="00BB5D7B">
          <w:rPr>
            <w:rFonts w:ascii="Calibri" w:hAnsi="Calibri" w:cs="Calibri"/>
            <w:b/>
            <w:bCs/>
            <w:iCs/>
            <w:color w:val="0000FF"/>
            <w:u w:val="single"/>
          </w:rPr>
          <w:t>www.WillOfTheLord.com</w:t>
        </w:r>
      </w:hyperlink>
      <w:r w:rsidRPr="00121119">
        <w:t>.</w:t>
      </w:r>
      <w:r>
        <w:t xml:space="preserve"> </w:t>
      </w:r>
      <w:r w:rsidRPr="00BB5D7B">
        <w:rPr>
          <w:rFonts w:ascii="Calibri" w:hAnsi="Calibri" w:cs="Calibri"/>
          <w:iCs/>
        </w:rPr>
        <w:t>There you may download the notes and the audio file of the message you just listened to.</w:t>
      </w:r>
    </w:p>
    <w:p w:rsidR="003A25C2" w:rsidRPr="00BB5D7B" w:rsidRDefault="003A25C2" w:rsidP="003A25C2">
      <w:pPr>
        <w:rPr>
          <w:rFonts w:ascii="Calibri" w:eastAsia="Calibri" w:hAnsi="Calibri"/>
        </w:rPr>
      </w:pPr>
    </w:p>
    <w:p w:rsidR="003A25C2" w:rsidRPr="00BB5D7B" w:rsidRDefault="003A25C2" w:rsidP="003A25C2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Call again next week when we consider a new subject on </w:t>
      </w:r>
      <w:r w:rsidRPr="00BB5D7B">
        <w:rPr>
          <w:rFonts w:ascii="Calibri" w:eastAsia="Calibri" w:hAnsi="Calibri"/>
          <w:b/>
          <w:bCs/>
          <w:i/>
          <w:iCs/>
        </w:rPr>
        <w:t>Bible Talk</w:t>
      </w:r>
      <w:r w:rsidRPr="00BB5D7B">
        <w:rPr>
          <w:rFonts w:ascii="Calibri" w:eastAsia="Calibri" w:hAnsi="Calibri"/>
        </w:rPr>
        <w:t>.</w:t>
      </w:r>
    </w:p>
    <w:p w:rsidR="003A25C2" w:rsidRPr="00BB5D7B" w:rsidRDefault="003A25C2" w:rsidP="003A25C2">
      <w:pPr>
        <w:rPr>
          <w:rFonts w:ascii="Calibri" w:hAnsi="Calibri" w:cs="Calibri"/>
          <w:iCs/>
        </w:rPr>
      </w:pPr>
    </w:p>
    <w:p w:rsidR="0049365D" w:rsidRDefault="0049365D"/>
    <w:sectPr w:rsidR="0049365D" w:rsidSect="003A25C2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93" w:rsidRDefault="00D45793">
      <w:r>
        <w:separator/>
      </w:r>
    </w:p>
  </w:endnote>
  <w:endnote w:type="continuationSeparator" w:id="0">
    <w:p w:rsidR="00D45793" w:rsidRDefault="00D4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04" w:rsidRDefault="00CF2704"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93" w:rsidRDefault="00D45793">
      <w:r>
        <w:separator/>
      </w:r>
    </w:p>
  </w:footnote>
  <w:footnote w:type="continuationSeparator" w:id="0">
    <w:p w:rsidR="00D45793" w:rsidRDefault="00D4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1C7D5B"/>
    <w:multiLevelType w:val="hybridMultilevel"/>
    <w:tmpl w:val="AEEE8A46"/>
    <w:lvl w:ilvl="0" w:tplc="61CC2822">
      <w:start w:val="1"/>
      <w:numFmt w:val="ordinal"/>
      <w:lvlText w:val="%1)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7737F"/>
    <w:multiLevelType w:val="hybridMultilevel"/>
    <w:tmpl w:val="6B6EF166"/>
    <w:lvl w:ilvl="0" w:tplc="96C68FB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C6E41"/>
    <w:multiLevelType w:val="hybridMultilevel"/>
    <w:tmpl w:val="98A440E6"/>
    <w:lvl w:ilvl="0" w:tplc="39CC9B94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6C10F36"/>
    <w:multiLevelType w:val="hybridMultilevel"/>
    <w:tmpl w:val="6B6EF166"/>
    <w:lvl w:ilvl="0" w:tplc="FFC4868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E76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926C9C"/>
    <w:multiLevelType w:val="hybridMultilevel"/>
    <w:tmpl w:val="AB7E75E0"/>
    <w:lvl w:ilvl="0" w:tplc="ADE4AF5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E12A75"/>
    <w:multiLevelType w:val="hybridMultilevel"/>
    <w:tmpl w:val="2F3426C8"/>
    <w:lvl w:ilvl="0" w:tplc="D840C0FE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plc="763E84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08E6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1085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22EF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FA6A1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ECD1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4A86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87EA8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2EB21FE"/>
    <w:multiLevelType w:val="hybridMultilevel"/>
    <w:tmpl w:val="AB7E75E0"/>
    <w:lvl w:ilvl="0" w:tplc="4AE8248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1A03F3"/>
    <w:multiLevelType w:val="hybridMultilevel"/>
    <w:tmpl w:val="3F203116"/>
    <w:lvl w:ilvl="0" w:tplc="6ECAA554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24">
    <w:nsid w:val="52CE5CB7"/>
    <w:multiLevelType w:val="hybridMultilevel"/>
    <w:tmpl w:val="6480E19C"/>
    <w:lvl w:ilvl="0" w:tplc="E9E47D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B9AE6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6A3B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1610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6CEC0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065D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B8EC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F62D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0E7D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599502CD"/>
    <w:multiLevelType w:val="hybridMultilevel"/>
    <w:tmpl w:val="40267C14"/>
    <w:lvl w:ilvl="0" w:tplc="ABEE634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plc="F54E38D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1B62D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49667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90D3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BBEC8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5A0DD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6F8A4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92CB2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78453F"/>
    <w:multiLevelType w:val="hybridMultilevel"/>
    <w:tmpl w:val="98A440E6"/>
    <w:lvl w:ilvl="0" w:tplc="BE42684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7"/>
  </w:num>
  <w:num w:numId="2">
    <w:abstractNumId w:val="3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13"/>
  </w:num>
  <w:num w:numId="7">
    <w:abstractNumId w:val="5"/>
  </w:num>
  <w:num w:numId="8">
    <w:abstractNumId w:val="24"/>
  </w:num>
  <w:num w:numId="9">
    <w:abstractNumId w:val="17"/>
  </w:num>
  <w:num w:numId="10">
    <w:abstractNumId w:val="26"/>
  </w:num>
  <w:num w:numId="11">
    <w:abstractNumId w:val="11"/>
  </w:num>
  <w:num w:numId="12">
    <w:abstractNumId w:val="19"/>
  </w:num>
  <w:num w:numId="13">
    <w:abstractNumId w:val="27"/>
  </w:num>
  <w:num w:numId="14">
    <w:abstractNumId w:val="9"/>
  </w:num>
  <w:num w:numId="15">
    <w:abstractNumId w:val="15"/>
  </w:num>
  <w:num w:numId="16">
    <w:abstractNumId w:val="16"/>
  </w:num>
  <w:num w:numId="17">
    <w:abstractNumId w:val="30"/>
  </w:num>
  <w:num w:numId="18">
    <w:abstractNumId w:val="28"/>
  </w:num>
  <w:num w:numId="19">
    <w:abstractNumId w:val="8"/>
  </w:num>
  <w:num w:numId="20">
    <w:abstractNumId w:val="22"/>
  </w:num>
  <w:num w:numId="21">
    <w:abstractNumId w:val="14"/>
  </w:num>
  <w:num w:numId="22">
    <w:abstractNumId w:val="25"/>
  </w:num>
  <w:num w:numId="23">
    <w:abstractNumId w:val="20"/>
  </w:num>
  <w:num w:numId="24">
    <w:abstractNumId w:val="18"/>
  </w:num>
  <w:num w:numId="25">
    <w:abstractNumId w:val="12"/>
  </w:num>
  <w:num w:numId="26">
    <w:abstractNumId w:val="29"/>
  </w:num>
  <w:num w:numId="27">
    <w:abstractNumId w:val="4"/>
  </w:num>
  <w:num w:numId="28">
    <w:abstractNumId w:val="6"/>
  </w:num>
  <w:num w:numId="29">
    <w:abstractNumId w:val="3"/>
  </w:num>
  <w:num w:numId="30">
    <w:abstractNumId w:val="2"/>
  </w:num>
  <w:num w:numId="31">
    <w:abstractNumId w:val="10"/>
  </w:num>
  <w:num w:numId="32">
    <w:abstractNumId w:val="31"/>
  </w:num>
  <w:num w:numId="33">
    <w:abstractNumId w:val="21"/>
  </w:num>
  <w:num w:numId="34">
    <w:abstractNumId w:val="0"/>
  </w:num>
  <w:num w:numId="35">
    <w:abstractNumId w:val="0"/>
  </w:num>
  <w:num w:numId="36">
    <w:abstractNumId w:val="1"/>
  </w:num>
  <w:num w:numId="37">
    <w:abstractNumId w:val="1"/>
  </w:num>
  <w:num w:numId="38">
    <w:abstractNumId w:val="2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activeWritingStyle w:appName="MSWord" w:lang="en-US" w:vendorID="64" w:dllVersion="131078" w:nlCheck="1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6F"/>
    <w:rsid w:val="00163AC9"/>
    <w:rsid w:val="003960B8"/>
    <w:rsid w:val="003A25C2"/>
    <w:rsid w:val="0049365D"/>
    <w:rsid w:val="004F3A6F"/>
    <w:rsid w:val="00B82065"/>
    <w:rsid w:val="00C63CD3"/>
    <w:rsid w:val="00CF0C54"/>
    <w:rsid w:val="00CF2704"/>
    <w:rsid w:val="00D45793"/>
    <w:rsid w:val="00E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F3A6F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3A6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0C54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F3A6F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F3A6F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F3A6F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F3A6F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F3A6F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F3A6F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A6F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4F3A6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4F3A6F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4F3A6F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4F3A6F"/>
    <w:pPr>
      <w:numPr>
        <w:numId w:val="32"/>
      </w:numPr>
    </w:pPr>
  </w:style>
  <w:style w:type="paragraph" w:customStyle="1" w:styleId="abc-singlespace">
    <w:name w:val="abc-single space"/>
    <w:basedOn w:val="Normal"/>
    <w:link w:val="abc-singlespaceChar"/>
    <w:rsid w:val="004F3A6F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4F3A6F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4F3A6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3A6F"/>
    <w:rPr>
      <w:b/>
      <w:bCs/>
      <w:sz w:val="18"/>
      <w:szCs w:val="18"/>
    </w:rPr>
  </w:style>
  <w:style w:type="character" w:styleId="Emphasis">
    <w:name w:val="Emphasis"/>
    <w:uiPriority w:val="20"/>
    <w:qFormat/>
    <w:rsid w:val="004F3A6F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4F3A6F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4F3A6F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3A6F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F0C54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4F3A6F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F3A6F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F3A6F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F3A6F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F3A6F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A6F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A6F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4F3A6F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F3A6F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4F3A6F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4F3A6F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4F3A6F"/>
    <w:pPr>
      <w:numPr>
        <w:numId w:val="38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4F3A6F"/>
    <w:pPr>
      <w:numPr>
        <w:numId w:val="39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4F3A6F"/>
    <w:pPr>
      <w:numPr>
        <w:numId w:val="37"/>
      </w:numPr>
      <w:contextualSpacing/>
    </w:pPr>
  </w:style>
  <w:style w:type="paragraph" w:styleId="ListParagraph">
    <w:name w:val="List Paragraph"/>
    <w:basedOn w:val="Normal"/>
    <w:uiPriority w:val="34"/>
    <w:qFormat/>
    <w:rsid w:val="004F3A6F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4F3A6F"/>
  </w:style>
  <w:style w:type="character" w:customStyle="1" w:styleId="NoSpacingChar">
    <w:name w:val="No Spacing Char"/>
    <w:basedOn w:val="DefaultParagraphFont"/>
    <w:link w:val="NoSpacing"/>
    <w:uiPriority w:val="99"/>
    <w:rsid w:val="004F3A6F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F3A6F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4F3A6F"/>
    <w:rPr>
      <w:rFonts w:ascii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4F3A6F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A6F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4F3A6F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4F3A6F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4F3A6F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4F3A6F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4F3A6F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A6F"/>
    <w:pPr>
      <w:outlineLvl w:val="9"/>
    </w:pPr>
    <w:rPr>
      <w:lang w:bidi="en-US"/>
    </w:rPr>
  </w:style>
  <w:style w:type="paragraph" w:customStyle="1" w:styleId="BookQuote">
    <w:name w:val="BookQuote"/>
    <w:basedOn w:val="Quote"/>
    <w:link w:val="BookQuoteChar"/>
    <w:uiPriority w:val="99"/>
    <w:qFormat/>
    <w:rsid w:val="004F3A6F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4F3A6F"/>
    <w:rPr>
      <w:rFonts w:asciiTheme="minorHAnsi" w:hAnsiTheme="minorHAnsi"/>
      <w:iCs/>
      <w:shd w:val="clear" w:color="auto" w:fill="EAF1DD" w:themeFill="accent3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F3A6F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3A6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0C54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F3A6F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F3A6F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F3A6F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F3A6F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F3A6F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F3A6F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A6F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4F3A6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4F3A6F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4F3A6F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4F3A6F"/>
    <w:pPr>
      <w:numPr>
        <w:numId w:val="32"/>
      </w:numPr>
    </w:pPr>
  </w:style>
  <w:style w:type="paragraph" w:customStyle="1" w:styleId="abc-singlespace">
    <w:name w:val="abc-single space"/>
    <w:basedOn w:val="Normal"/>
    <w:link w:val="abc-singlespaceChar"/>
    <w:rsid w:val="004F3A6F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4F3A6F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4F3A6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3A6F"/>
    <w:rPr>
      <w:b/>
      <w:bCs/>
      <w:sz w:val="18"/>
      <w:szCs w:val="18"/>
    </w:rPr>
  </w:style>
  <w:style w:type="character" w:styleId="Emphasis">
    <w:name w:val="Emphasis"/>
    <w:uiPriority w:val="20"/>
    <w:qFormat/>
    <w:rsid w:val="004F3A6F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4F3A6F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4F3A6F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3A6F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F0C54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4F3A6F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F3A6F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F3A6F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F3A6F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F3A6F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A6F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A6F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4F3A6F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F3A6F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4F3A6F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4F3A6F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4F3A6F"/>
    <w:pPr>
      <w:numPr>
        <w:numId w:val="38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4F3A6F"/>
    <w:pPr>
      <w:numPr>
        <w:numId w:val="39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4F3A6F"/>
    <w:pPr>
      <w:numPr>
        <w:numId w:val="37"/>
      </w:numPr>
      <w:contextualSpacing/>
    </w:pPr>
  </w:style>
  <w:style w:type="paragraph" w:styleId="ListParagraph">
    <w:name w:val="List Paragraph"/>
    <w:basedOn w:val="Normal"/>
    <w:uiPriority w:val="34"/>
    <w:qFormat/>
    <w:rsid w:val="004F3A6F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4F3A6F"/>
  </w:style>
  <w:style w:type="character" w:customStyle="1" w:styleId="NoSpacingChar">
    <w:name w:val="No Spacing Char"/>
    <w:basedOn w:val="DefaultParagraphFont"/>
    <w:link w:val="NoSpacing"/>
    <w:uiPriority w:val="99"/>
    <w:rsid w:val="004F3A6F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F3A6F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4F3A6F"/>
    <w:rPr>
      <w:rFonts w:ascii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4F3A6F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A6F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4F3A6F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4F3A6F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4F3A6F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4F3A6F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4F3A6F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A6F"/>
    <w:pPr>
      <w:outlineLvl w:val="9"/>
    </w:pPr>
    <w:rPr>
      <w:lang w:bidi="en-US"/>
    </w:rPr>
  </w:style>
  <w:style w:type="paragraph" w:customStyle="1" w:styleId="BookQuote">
    <w:name w:val="BookQuote"/>
    <w:basedOn w:val="Quote"/>
    <w:link w:val="BookQuoteChar"/>
    <w:uiPriority w:val="99"/>
    <w:qFormat/>
    <w:rsid w:val="004F3A6F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4F3A6F"/>
    <w:rPr>
      <w:rFonts w:asciiTheme="minorHAnsi" w:hAnsiTheme="minorHAnsi"/>
      <w:iCs/>
      <w:shd w:val="clear" w:color="auto" w:fill="EAF1DD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creator>George Battey</dc:creator>
  <cp:lastModifiedBy>George Battey</cp:lastModifiedBy>
  <cp:revision>8</cp:revision>
  <cp:lastPrinted>2014-07-08T18:00:00Z</cp:lastPrinted>
  <dcterms:created xsi:type="dcterms:W3CDTF">2014-07-08T17:51:00Z</dcterms:created>
  <dcterms:modified xsi:type="dcterms:W3CDTF">2014-07-08T19:42:00Z</dcterms:modified>
</cp:coreProperties>
</file>